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F4D" w:rsidRPr="005B754A" w:rsidRDefault="0022351C" w:rsidP="005B754A">
      <w:pPr>
        <w:rPr>
          <w:rFonts w:ascii="Arial" w:hAnsi="Arial" w:cs="Arial"/>
          <w:color w:val="00BCE4"/>
          <w:sz w:val="36"/>
          <w:szCs w:val="36"/>
        </w:rPr>
      </w:pPr>
      <w:bookmarkStart w:id="0" w:name="_Toc371625915"/>
      <w:bookmarkStart w:id="1" w:name="_Toc379057181"/>
      <w:bookmarkStart w:id="2" w:name="_Toc379057454"/>
      <w:bookmarkStart w:id="3" w:name="_Toc379314221"/>
      <w:bookmarkStart w:id="4" w:name="_Toc403318414"/>
      <w:r>
        <w:rPr>
          <w:rFonts w:ascii="Arial" w:hAnsi="Arial" w:cs="Arial"/>
          <w:noProof/>
          <w:color w:val="00BCE4"/>
          <w:sz w:val="36"/>
          <w:szCs w:val="36"/>
          <w:lang w:eastAsia="en-AU"/>
        </w:rPr>
        <w:pict>
          <v:shapetype id="_x0000_t32" coordsize="21600,21600" o:spt="32" o:oned="t" path="m,l21600,21600e" filled="f">
            <v:path arrowok="t" fillok="f" o:connecttype="none"/>
            <o:lock v:ext="edit" shapetype="t"/>
          </v:shapetype>
          <v:shape id="Straight Arrow Connector 1" o:spid="_x0000_s1026" type="#_x0000_t32" style="position:absolute;margin-left:-3.5pt;margin-top:29.05pt;width:277.75pt;height:0;z-index:251659264;visibility:visible;mso-wrap-style:square;mso-height-percent:0;mso-wrap-distance-left:9pt;mso-wrap-distance-top:-1e-4mm;mso-wrap-distance-right:9pt;mso-wrap-distance-bottom:-1e-4mm;mso-position-horizontal:absolute;mso-position-horizontal-relative:page;mso-position-vertical:absolute;mso-position-vertical-relative:text;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" adj="272,-1,272">
            <w10:wrap anchorx="page"/>
          </v:shape>
        </w:pict>
      </w:r>
      <w:bookmarkStart w:id="5" w:name="_Toc379538594"/>
      <w:r w:rsidR="00F33598">
        <w:rPr>
          <w:rFonts w:ascii="Arial" w:hAnsi="Arial" w:cs="Arial"/>
          <w:color w:val="00BCE4"/>
          <w:sz w:val="36"/>
          <w:szCs w:val="36"/>
        </w:rPr>
        <w:t>Public</w:t>
      </w:r>
      <w:r w:rsidR="001F3F4D" w:rsidRPr="005B754A">
        <w:rPr>
          <w:rFonts w:ascii="Arial" w:hAnsi="Arial" w:cs="Arial"/>
          <w:color w:val="00BCE4"/>
          <w:sz w:val="36"/>
          <w:szCs w:val="36"/>
        </w:rPr>
        <w:t xml:space="preserve"> </w:t>
      </w:r>
      <w:r w:rsidR="000E340C" w:rsidRPr="005B754A">
        <w:rPr>
          <w:rFonts w:ascii="Arial" w:hAnsi="Arial" w:cs="Arial"/>
          <w:color w:val="00BCE4"/>
          <w:sz w:val="36"/>
          <w:szCs w:val="36"/>
        </w:rPr>
        <w:t>c</w:t>
      </w:r>
      <w:r w:rsidR="001F3F4D" w:rsidRPr="005B754A">
        <w:rPr>
          <w:rFonts w:ascii="Arial" w:hAnsi="Arial" w:cs="Arial"/>
          <w:color w:val="00BCE4"/>
          <w:sz w:val="36"/>
          <w:szCs w:val="36"/>
        </w:rPr>
        <w:t xml:space="preserve">onsultation </w:t>
      </w:r>
      <w:r w:rsidR="000E340C" w:rsidRPr="005B754A">
        <w:rPr>
          <w:rFonts w:ascii="Arial" w:hAnsi="Arial" w:cs="Arial"/>
          <w:color w:val="00BCE4"/>
          <w:sz w:val="36"/>
          <w:szCs w:val="36"/>
        </w:rPr>
        <w:t>p</w:t>
      </w:r>
      <w:r w:rsidR="001F3F4D" w:rsidRPr="005B754A">
        <w:rPr>
          <w:rFonts w:ascii="Arial" w:hAnsi="Arial" w:cs="Arial"/>
          <w:color w:val="00BCE4"/>
          <w:sz w:val="36"/>
          <w:szCs w:val="36"/>
        </w:rPr>
        <w:t>aper</w:t>
      </w:r>
      <w:bookmarkEnd w:id="0"/>
      <w:bookmarkEnd w:id="1"/>
      <w:bookmarkEnd w:id="2"/>
      <w:bookmarkEnd w:id="3"/>
      <w:bookmarkEnd w:id="4"/>
      <w:bookmarkEnd w:id="5"/>
    </w:p>
    <w:p w:rsidR="001F3F4D" w:rsidRPr="00E53EAF" w:rsidRDefault="0022351C" w:rsidP="0022351C">
      <w:pPr>
        <w:tabs>
          <w:tab w:val="left" w:pos="1881"/>
        </w:tabs>
        <w:spacing w:before="200" w:after="200" w:line="240" w:lineRule="auto"/>
        <w:rPr>
          <w:rFonts w:ascii="Arial" w:eastAsia="Times New Roman" w:hAnsi="Arial" w:cs="Times New Roman"/>
          <w:b/>
          <w:sz w:val="20"/>
          <w:szCs w:val="24"/>
        </w:rPr>
      </w:pPr>
      <w:r>
        <w:rPr>
          <w:rFonts w:ascii="Arial" w:eastAsia="Times New Roman" w:hAnsi="Arial" w:cs="Times New Roman"/>
          <w:b/>
          <w:sz w:val="20"/>
          <w:szCs w:val="24"/>
        </w:rPr>
        <w:tab/>
      </w:r>
      <w:bookmarkStart w:id="6" w:name="_GoBack"/>
      <w:bookmarkEnd w:id="6"/>
    </w:p>
    <w:p w:rsidR="00303184" w:rsidRDefault="00B93981" w:rsidP="00303184">
      <w:pPr>
        <w:spacing w:after="200" w:line="240" w:lineRule="auto"/>
        <w:outlineLvl w:val="0"/>
        <w:rPr>
          <w:rFonts w:ascii="Arial" w:eastAsia="Times New Roman" w:hAnsi="Arial" w:cs="Arial"/>
          <w:color w:val="5F5E62"/>
          <w:sz w:val="28"/>
          <w:szCs w:val="52"/>
        </w:rPr>
      </w:pPr>
      <w:r>
        <w:rPr>
          <w:rFonts w:ascii="Arial" w:eastAsia="Times New Roman" w:hAnsi="Arial" w:cs="Arial"/>
          <w:color w:val="5F5E62"/>
          <w:sz w:val="28"/>
          <w:szCs w:val="52"/>
        </w:rPr>
        <w:t xml:space="preserve">Development of </w:t>
      </w:r>
      <w:r w:rsidR="0091651C">
        <w:rPr>
          <w:rFonts w:ascii="Arial" w:eastAsia="Times New Roman" w:hAnsi="Arial" w:cs="Arial"/>
          <w:color w:val="5F5E62"/>
          <w:sz w:val="28"/>
          <w:szCs w:val="52"/>
        </w:rPr>
        <w:t>n</w:t>
      </w:r>
      <w:r w:rsidR="00F33598">
        <w:rPr>
          <w:rFonts w:ascii="Arial" w:eastAsia="Times New Roman" w:hAnsi="Arial" w:cs="Arial"/>
          <w:color w:val="5F5E62"/>
          <w:sz w:val="28"/>
          <w:szCs w:val="52"/>
        </w:rPr>
        <w:t>ational examination guidelines</w:t>
      </w:r>
    </w:p>
    <w:p w:rsidR="00420784" w:rsidRPr="00C84E5E" w:rsidRDefault="00420784" w:rsidP="00C84E5E">
      <w:pPr>
        <w:pStyle w:val="AHPRASubheading"/>
        <w:rPr>
          <w:lang w:val="en-AU"/>
        </w:rPr>
      </w:pPr>
      <w:r w:rsidRPr="00C84E5E">
        <w:rPr>
          <w:lang w:val="en-AU"/>
        </w:rPr>
        <w:t>You are invited to provide feedback</w:t>
      </w:r>
    </w:p>
    <w:p w:rsidR="00F33598" w:rsidRDefault="00420784" w:rsidP="00420784">
      <w:pPr>
        <w:pStyle w:val="AHPRAbody"/>
        <w:spacing w:line="276" w:lineRule="auto"/>
        <w:ind w:right="334"/>
        <w:rPr>
          <w:rFonts w:ascii="Arial" w:hAnsi="Arial" w:cs="Arial"/>
        </w:rPr>
      </w:pPr>
      <w:r w:rsidRPr="00420784">
        <w:rPr>
          <w:rFonts w:ascii="Arial" w:hAnsi="Arial" w:cs="Arial"/>
          <w:bCs/>
          <w:szCs w:val="20"/>
        </w:rPr>
        <w:t xml:space="preserve">To provide feedback please </w:t>
      </w:r>
      <w:r w:rsidR="000E340C">
        <w:rPr>
          <w:rFonts w:ascii="Arial" w:hAnsi="Arial" w:cs="Arial"/>
          <w:bCs/>
          <w:szCs w:val="20"/>
        </w:rPr>
        <w:t>submit</w:t>
      </w:r>
      <w:r w:rsidRPr="00420784">
        <w:rPr>
          <w:rFonts w:ascii="Arial" w:hAnsi="Arial" w:cs="Arial"/>
          <w:bCs/>
          <w:szCs w:val="20"/>
        </w:rPr>
        <w:t xml:space="preserve"> your comments </w:t>
      </w:r>
      <w:r w:rsidRPr="00420784">
        <w:rPr>
          <w:rFonts w:ascii="Arial" w:hAnsi="Arial" w:cs="Arial"/>
          <w:b/>
          <w:bCs/>
          <w:szCs w:val="20"/>
        </w:rPr>
        <w:t>in a Word document</w:t>
      </w:r>
      <w:r w:rsidR="001014EB">
        <w:rPr>
          <w:rFonts w:ascii="Arial" w:hAnsi="Arial" w:cs="Arial"/>
          <w:b/>
          <w:bCs/>
          <w:szCs w:val="20"/>
        </w:rPr>
        <w:t xml:space="preserve"> </w:t>
      </w:r>
      <w:r w:rsidRPr="00420784">
        <w:rPr>
          <w:rFonts w:ascii="Arial" w:hAnsi="Arial" w:cs="Arial"/>
        </w:rPr>
        <w:t xml:space="preserve">by email to </w:t>
      </w:r>
      <w:hyperlink r:id="rId8" w:history="1">
        <w:r w:rsidRPr="00420784">
          <w:rPr>
            <w:rStyle w:val="Hyperlink"/>
            <w:rFonts w:ascii="Arial" w:hAnsi="Arial" w:cs="Arial"/>
          </w:rPr>
          <w:t>medicalradiationconsultation@ahpra.gov.au</w:t>
        </w:r>
      </w:hyperlink>
      <w:r w:rsidRPr="00420784">
        <w:rPr>
          <w:rFonts w:ascii="Arial" w:hAnsi="Arial" w:cs="Arial"/>
        </w:rPr>
        <w:t xml:space="preserve"> </w:t>
      </w:r>
      <w:r w:rsidRPr="00420784">
        <w:rPr>
          <w:rFonts w:ascii="Arial" w:hAnsi="Arial" w:cs="Arial"/>
          <w:b/>
        </w:rPr>
        <w:t xml:space="preserve">by </w:t>
      </w:r>
      <w:r w:rsidR="00EB4972">
        <w:rPr>
          <w:rFonts w:ascii="Arial" w:hAnsi="Arial" w:cs="Arial"/>
          <w:b/>
        </w:rPr>
        <w:t>6</w:t>
      </w:r>
      <w:r w:rsidR="00F45CC3">
        <w:rPr>
          <w:rFonts w:ascii="Arial" w:hAnsi="Arial" w:cs="Arial"/>
          <w:b/>
        </w:rPr>
        <w:t>pm (AE</w:t>
      </w:r>
      <w:r w:rsidR="00D60213">
        <w:rPr>
          <w:rFonts w:ascii="Arial" w:hAnsi="Arial" w:cs="Arial"/>
          <w:b/>
        </w:rPr>
        <w:t>D</w:t>
      </w:r>
      <w:r>
        <w:rPr>
          <w:rFonts w:ascii="Arial" w:hAnsi="Arial" w:cs="Arial"/>
          <w:b/>
        </w:rPr>
        <w:t>ST)</w:t>
      </w:r>
      <w:r w:rsidRPr="00420784">
        <w:rPr>
          <w:rFonts w:ascii="Arial" w:hAnsi="Arial" w:cs="Arial"/>
          <w:b/>
        </w:rPr>
        <w:t xml:space="preserve"> </w:t>
      </w:r>
      <w:r w:rsidR="004F324C">
        <w:rPr>
          <w:rFonts w:ascii="Arial" w:hAnsi="Arial" w:cs="Arial"/>
          <w:b/>
        </w:rPr>
        <w:t xml:space="preserve">Friday, </w:t>
      </w:r>
      <w:r w:rsidR="007A76A6">
        <w:rPr>
          <w:rFonts w:ascii="Arial" w:hAnsi="Arial" w:cs="Arial"/>
          <w:b/>
        </w:rPr>
        <w:t>16</w:t>
      </w:r>
      <w:r w:rsidR="004F324C">
        <w:rPr>
          <w:rFonts w:ascii="Arial" w:hAnsi="Arial" w:cs="Arial"/>
          <w:b/>
        </w:rPr>
        <w:t xml:space="preserve"> October 2015</w:t>
      </w:r>
      <w:r w:rsidR="0091651C">
        <w:rPr>
          <w:rFonts w:ascii="Arial" w:hAnsi="Arial" w:cs="Arial"/>
          <w:b/>
        </w:rPr>
        <w:t>.</w:t>
      </w:r>
    </w:p>
    <w:p w:rsidR="00CD45DB" w:rsidRPr="004F324C" w:rsidRDefault="00F33598" w:rsidP="004F324C">
      <w:pPr>
        <w:pStyle w:val="AHPRAbody"/>
        <w:spacing w:line="276" w:lineRule="auto"/>
        <w:ind w:right="334"/>
        <w:rPr>
          <w:rFonts w:ascii="Arial" w:hAnsi="Arial" w:cs="Arial"/>
        </w:rPr>
      </w:pPr>
      <w:r>
        <w:rPr>
          <w:rFonts w:ascii="Arial" w:hAnsi="Arial" w:cs="Arial"/>
        </w:rPr>
        <w:t>The Board’s preference is for feedback to be submitted using the</w:t>
      </w:r>
      <w:r w:rsidR="00420784" w:rsidRPr="00420784">
        <w:rPr>
          <w:rFonts w:ascii="Arial" w:hAnsi="Arial" w:cs="Arial"/>
        </w:rPr>
        <w:t xml:space="preserve"> </w:t>
      </w:r>
      <w:r w:rsidR="00BD11EF">
        <w:rPr>
          <w:rFonts w:ascii="Arial" w:hAnsi="Arial" w:cs="Arial"/>
        </w:rPr>
        <w:t>feedback form</w:t>
      </w:r>
      <w:r w:rsidR="00420784" w:rsidRPr="00420784">
        <w:rPr>
          <w:rFonts w:ascii="Arial" w:hAnsi="Arial" w:cs="Arial"/>
        </w:rPr>
        <w:t xml:space="preserve"> provided</w:t>
      </w:r>
      <w:r>
        <w:rPr>
          <w:rFonts w:ascii="Arial" w:hAnsi="Arial" w:cs="Arial"/>
        </w:rPr>
        <w:t>.</w:t>
      </w:r>
    </w:p>
    <w:p w:rsidR="00F33598" w:rsidRPr="00F263EE" w:rsidRDefault="00F33598" w:rsidP="00F33598">
      <w:pPr>
        <w:pStyle w:val="AHPRAHeadline"/>
        <w:spacing w:before="200"/>
        <w:rPr>
          <w:rFonts w:cs="Arial"/>
          <w:b/>
          <w:sz w:val="20"/>
          <w:szCs w:val="20"/>
        </w:rPr>
      </w:pPr>
      <w:r w:rsidRPr="00F263EE">
        <w:rPr>
          <w:rFonts w:cs="Arial"/>
          <w:b/>
          <w:sz w:val="20"/>
          <w:szCs w:val="20"/>
        </w:rPr>
        <w:t>Public consultation</w:t>
      </w:r>
    </w:p>
    <w:p w:rsidR="00CD45DB" w:rsidRPr="004F324C" w:rsidRDefault="00F33598" w:rsidP="004F324C">
      <w:pPr>
        <w:pStyle w:val="AHPRAbody"/>
        <w:spacing w:before="200"/>
        <w:rPr>
          <w:rFonts w:ascii="Arial" w:hAnsi="Arial" w:cs="Arial"/>
        </w:rPr>
      </w:pPr>
      <w:r w:rsidRPr="00F33598">
        <w:rPr>
          <w:rFonts w:ascii="Arial" w:hAnsi="Arial" w:cs="Arial"/>
        </w:rPr>
        <w:t xml:space="preserve">The Medical Radiation Practice Board of Australia (the Board) is releasing the attached consultation paper on </w:t>
      </w:r>
      <w:r>
        <w:rPr>
          <w:rFonts w:ascii="Arial" w:hAnsi="Arial" w:cs="Arial"/>
        </w:rPr>
        <w:t>national examination guidelines.</w:t>
      </w:r>
      <w:r w:rsidRPr="00F33598">
        <w:rPr>
          <w:rFonts w:ascii="Arial" w:hAnsi="Arial" w:cs="Arial"/>
        </w:rPr>
        <w:t xml:space="preserve"> You are invited to provide your comments on the consultation paper, including the questions in the paper, by </w:t>
      </w:r>
      <w:r w:rsidR="00EC7F30">
        <w:rPr>
          <w:rFonts w:ascii="Arial" w:hAnsi="Arial" w:cs="Arial"/>
        </w:rPr>
        <w:t>16</w:t>
      </w:r>
      <w:r w:rsidR="004F324C">
        <w:rPr>
          <w:rFonts w:ascii="Arial" w:hAnsi="Arial" w:cs="Arial"/>
        </w:rPr>
        <w:t xml:space="preserve"> October 2015</w:t>
      </w:r>
      <w:r w:rsidR="0091651C">
        <w:rPr>
          <w:rFonts w:ascii="Arial" w:hAnsi="Arial" w:cs="Arial"/>
        </w:rPr>
        <w:t>.</w:t>
      </w:r>
    </w:p>
    <w:p w:rsidR="00CD45DB" w:rsidRPr="00F263EE" w:rsidRDefault="00CD45DB" w:rsidP="00CD45DB">
      <w:pPr>
        <w:pStyle w:val="AHPRAHeadline"/>
        <w:spacing w:before="200"/>
        <w:rPr>
          <w:rFonts w:cs="Arial"/>
          <w:b/>
          <w:sz w:val="20"/>
          <w:szCs w:val="20"/>
        </w:rPr>
      </w:pPr>
      <w:r w:rsidRPr="00F263EE">
        <w:rPr>
          <w:rFonts w:cs="Arial"/>
          <w:b/>
          <w:sz w:val="20"/>
          <w:szCs w:val="20"/>
        </w:rPr>
        <w:t>How your submission will be treated</w:t>
      </w:r>
    </w:p>
    <w:p w:rsidR="00CD45DB" w:rsidRPr="00CD45DB" w:rsidRDefault="00CD45DB" w:rsidP="00CD45DB">
      <w:pPr>
        <w:pStyle w:val="AHPRAbody"/>
        <w:spacing w:before="200"/>
        <w:rPr>
          <w:rFonts w:ascii="Arial" w:hAnsi="Arial" w:cs="Arial"/>
          <w:szCs w:val="20"/>
        </w:rPr>
      </w:pPr>
      <w:r w:rsidRPr="00CD45DB">
        <w:rPr>
          <w:rFonts w:ascii="Arial" w:hAnsi="Arial" w:cs="Arial"/>
          <w:szCs w:val="20"/>
        </w:rPr>
        <w:t>Submissions will generally be published unless you request otherwise. The Board publishes submissions on its website to encourage discussion and inform the community and stakeholders. However, the Board retains the right not to publish submissions at</w:t>
      </w:r>
      <w:r w:rsidR="0091651C">
        <w:rPr>
          <w:rFonts w:ascii="Arial" w:hAnsi="Arial" w:cs="Arial"/>
          <w:szCs w:val="20"/>
        </w:rPr>
        <w:t xml:space="preserve"> its</w:t>
      </w:r>
      <w:r w:rsidRPr="00CD45DB">
        <w:rPr>
          <w:rFonts w:ascii="Arial" w:hAnsi="Arial" w:cs="Arial"/>
          <w:szCs w:val="20"/>
        </w:rPr>
        <w:t xml:space="preserve"> discretion, and will not place on </w:t>
      </w:r>
      <w:r w:rsidR="0091651C">
        <w:rPr>
          <w:rFonts w:ascii="Arial" w:hAnsi="Arial" w:cs="Arial"/>
          <w:szCs w:val="20"/>
        </w:rPr>
        <w:t>its</w:t>
      </w:r>
      <w:r w:rsidRPr="00CD45DB">
        <w:rPr>
          <w:rFonts w:ascii="Arial" w:hAnsi="Arial" w:cs="Arial"/>
          <w:szCs w:val="20"/>
        </w:rPr>
        <w:t xml:space="preserve"> website, or make available to the public, submissions that contain offensive or defamatory comments or which are outside the scope of the consultation. </w:t>
      </w:r>
    </w:p>
    <w:p w:rsidR="00CD45DB" w:rsidRPr="00CD45DB" w:rsidRDefault="00CD45DB" w:rsidP="00CD45DB">
      <w:pPr>
        <w:pStyle w:val="AHPRAbody"/>
        <w:spacing w:before="200"/>
        <w:rPr>
          <w:rFonts w:ascii="Arial" w:hAnsi="Arial" w:cs="Arial"/>
          <w:szCs w:val="20"/>
        </w:rPr>
      </w:pPr>
      <w:r w:rsidRPr="00CD45DB">
        <w:rPr>
          <w:rFonts w:ascii="Arial" w:hAnsi="Arial" w:cs="Arial"/>
          <w:szCs w:val="20"/>
        </w:rPr>
        <w:t xml:space="preserve">Before publication, the Board will remove personally-identifying information from submissions, including contact details. The views expressed in the submissions are those of the individuals or organisations who submit them and their publication does not imply any acceptance of, or agreement with, these views by the Board. </w:t>
      </w:r>
    </w:p>
    <w:p w:rsidR="00CD45DB" w:rsidRPr="00CD45DB" w:rsidRDefault="00CD45DB" w:rsidP="00CD45DB">
      <w:pPr>
        <w:pStyle w:val="AHPRAbody"/>
        <w:spacing w:before="200"/>
        <w:rPr>
          <w:rFonts w:ascii="Arial" w:hAnsi="Arial" w:cs="Arial"/>
          <w:szCs w:val="20"/>
        </w:rPr>
      </w:pPr>
      <w:r w:rsidRPr="00CD45DB">
        <w:rPr>
          <w:rFonts w:ascii="Arial" w:hAnsi="Arial" w:cs="Arial"/>
          <w:szCs w:val="20"/>
        </w:rPr>
        <w:t xml:space="preserve">The Board also accept submissions made in confidence. These submissions will not be published on the website or elsewhere. Submissions may be confidential because they include personal experiences or other sensitive information. Any request for access to a confidential submission will be determined in accordance with the </w:t>
      </w:r>
      <w:r w:rsidRPr="00CD45DB">
        <w:rPr>
          <w:rFonts w:ascii="Arial" w:hAnsi="Arial" w:cs="Arial"/>
          <w:i/>
          <w:szCs w:val="20"/>
        </w:rPr>
        <w:t xml:space="preserve">Freedom of Information Act 1982 </w:t>
      </w:r>
      <w:r w:rsidR="00E130BC" w:rsidRPr="00E130BC">
        <w:rPr>
          <w:rFonts w:ascii="Arial" w:hAnsi="Arial" w:cs="Arial"/>
          <w:szCs w:val="20"/>
        </w:rPr>
        <w:t>(Cth)</w:t>
      </w:r>
      <w:r w:rsidRPr="0091651C">
        <w:rPr>
          <w:rFonts w:ascii="Arial" w:hAnsi="Arial" w:cs="Arial"/>
          <w:szCs w:val="20"/>
        </w:rPr>
        <w:t>,</w:t>
      </w:r>
      <w:r w:rsidRPr="00CD45DB">
        <w:rPr>
          <w:rFonts w:ascii="Arial" w:hAnsi="Arial" w:cs="Arial"/>
          <w:szCs w:val="20"/>
        </w:rPr>
        <w:t xml:space="preserve"> which has provisions designed to protect personal information and information given in confidence. </w:t>
      </w:r>
    </w:p>
    <w:p w:rsidR="001A7E77" w:rsidRPr="001A7E77" w:rsidRDefault="00CD45DB" w:rsidP="001A7E77">
      <w:pPr>
        <w:pStyle w:val="AHPRAbody"/>
        <w:spacing w:before="200"/>
        <w:rPr>
          <w:rFonts w:ascii="Arial" w:hAnsi="Arial" w:cs="Arial"/>
          <w:szCs w:val="20"/>
        </w:rPr>
      </w:pPr>
      <w:r w:rsidRPr="00CD45DB">
        <w:rPr>
          <w:rFonts w:ascii="Arial" w:hAnsi="Arial" w:cs="Arial"/>
          <w:szCs w:val="20"/>
        </w:rPr>
        <w:t>Please let the Board know if you do not want your submission published, or want all or part of it treated as confidential.</w:t>
      </w:r>
    </w:p>
    <w:p w:rsidR="001A7E77" w:rsidRPr="001A7E77" w:rsidRDefault="001A7E77" w:rsidP="001A7E77">
      <w:pPr>
        <w:pStyle w:val="AHPRAbody"/>
        <w:spacing w:before="200"/>
        <w:rPr>
          <w:rFonts w:ascii="Arial" w:hAnsi="Arial" w:cs="Arial"/>
          <w:szCs w:val="20"/>
        </w:rPr>
        <w:sectPr w:rsidR="001A7E77" w:rsidRPr="001A7E77" w:rsidSect="00242F97">
          <w:headerReference w:type="default" r:id="rId9"/>
          <w:footerReference w:type="default" r:id="rId10"/>
          <w:headerReference w:type="first" r:id="rId11"/>
          <w:pgSz w:w="11906" w:h="16838"/>
          <w:pgMar w:top="1727" w:right="1440" w:bottom="1418" w:left="1440" w:header="709" w:footer="366" w:gutter="0"/>
          <w:cols w:space="708"/>
          <w:titlePg/>
          <w:docGrid w:linePitch="360"/>
        </w:sectPr>
      </w:pPr>
      <w:r w:rsidRPr="001A7E77">
        <w:rPr>
          <w:rFonts w:ascii="Arial" w:hAnsi="Arial" w:cs="Arial"/>
          <w:i/>
          <w:szCs w:val="20"/>
        </w:rPr>
        <w:t>Please note:</w:t>
      </w:r>
      <w:r w:rsidRPr="001A7E77">
        <w:rPr>
          <w:rFonts w:ascii="Arial" w:hAnsi="Arial" w:cs="Arial"/>
          <w:szCs w:val="20"/>
        </w:rPr>
        <w:t xml:space="preserve"> paragraph numbering is provided to assist with ease of reference during consultation.</w:t>
      </w:r>
    </w:p>
    <w:p w:rsidR="005B754A" w:rsidRPr="005B754A" w:rsidRDefault="005B754A" w:rsidP="005B754A">
      <w:pPr>
        <w:pStyle w:val="AHPRATitle"/>
        <w:rPr>
          <w:color w:val="00BCE4"/>
          <w:sz w:val="32"/>
          <w:szCs w:val="32"/>
        </w:rPr>
      </w:pPr>
      <w:bookmarkStart w:id="7" w:name="_Toc410144252"/>
      <w:bookmarkStart w:id="8" w:name="_Toc410202604"/>
      <w:bookmarkStart w:id="9" w:name="_Toc426364363"/>
      <w:r w:rsidRPr="005B754A">
        <w:rPr>
          <w:color w:val="00BCE4"/>
          <w:sz w:val="32"/>
          <w:szCs w:val="32"/>
        </w:rPr>
        <w:lastRenderedPageBreak/>
        <w:t xml:space="preserve">Table of </w:t>
      </w:r>
      <w:r w:rsidR="0091651C">
        <w:rPr>
          <w:color w:val="00BCE4"/>
          <w:sz w:val="32"/>
          <w:szCs w:val="32"/>
        </w:rPr>
        <w:t>c</w:t>
      </w:r>
      <w:r w:rsidRPr="005B754A">
        <w:rPr>
          <w:color w:val="00BCE4"/>
          <w:sz w:val="32"/>
          <w:szCs w:val="32"/>
        </w:rPr>
        <w:t>ontents</w:t>
      </w:r>
      <w:bookmarkEnd w:id="7"/>
      <w:bookmarkEnd w:id="8"/>
      <w:bookmarkEnd w:id="9"/>
    </w:p>
    <w:p w:rsidR="00AA540F" w:rsidRPr="0003080C" w:rsidRDefault="00954475" w:rsidP="00AA540F">
      <w:pPr>
        <w:pStyle w:val="TOC1"/>
        <w:tabs>
          <w:tab w:val="clear" w:pos="9016"/>
          <w:tab w:val="right" w:leader="dot" w:pos="8364"/>
        </w:tabs>
        <w:ind w:right="521"/>
        <w:rPr>
          <w:rFonts w:ascii="Arial" w:eastAsiaTheme="minorEastAsia" w:hAnsi="Arial" w:cs="Arial"/>
          <w:noProof/>
          <w:lang w:eastAsia="en-AU"/>
        </w:rPr>
      </w:pPr>
      <w:r w:rsidRPr="00AA540F">
        <w:rPr>
          <w:rFonts w:ascii="Arial" w:hAnsi="Arial" w:cs="Arial"/>
          <w:noProof/>
          <w:sz w:val="20"/>
          <w:szCs w:val="20"/>
          <w:lang w:eastAsia="en-AU"/>
        </w:rPr>
        <w:fldChar w:fldCharType="begin"/>
      </w:r>
      <w:r w:rsidR="005B754A" w:rsidRPr="00AA540F">
        <w:rPr>
          <w:rFonts w:ascii="Arial" w:hAnsi="Arial" w:cs="Arial"/>
          <w:sz w:val="20"/>
          <w:szCs w:val="20"/>
        </w:rPr>
        <w:instrText xml:space="preserve"> TOC \o "1-1" \f \h \z \t "AHPRA Subheading level 2,2" </w:instrText>
      </w:r>
      <w:r w:rsidRPr="00AA540F">
        <w:rPr>
          <w:rFonts w:ascii="Arial" w:hAnsi="Arial" w:cs="Arial"/>
          <w:noProof/>
          <w:sz w:val="20"/>
          <w:szCs w:val="20"/>
          <w:lang w:eastAsia="en-AU"/>
        </w:rPr>
        <w:fldChar w:fldCharType="separate"/>
      </w:r>
      <w:hyperlink w:anchor="_Toc426364363" w:history="1">
        <w:r w:rsidR="00AA540F" w:rsidRPr="0003080C">
          <w:rPr>
            <w:rStyle w:val="Hyperlink"/>
            <w:rFonts w:ascii="Arial" w:hAnsi="Arial" w:cs="Arial"/>
            <w:noProof/>
          </w:rPr>
          <w:t xml:space="preserve">Table of </w:t>
        </w:r>
        <w:r w:rsidR="0091651C" w:rsidRPr="0003080C">
          <w:rPr>
            <w:rStyle w:val="Hyperlink"/>
            <w:rFonts w:ascii="Arial" w:hAnsi="Arial" w:cs="Arial"/>
            <w:noProof/>
          </w:rPr>
          <w:t>c</w:t>
        </w:r>
        <w:r w:rsidR="00AA540F" w:rsidRPr="0003080C">
          <w:rPr>
            <w:rStyle w:val="Hyperlink"/>
            <w:rFonts w:ascii="Arial" w:hAnsi="Arial" w:cs="Arial"/>
            <w:noProof/>
          </w:rPr>
          <w:t>ontents</w:t>
        </w:r>
        <w:r w:rsidR="00AA540F" w:rsidRPr="0003080C">
          <w:rPr>
            <w:rFonts w:ascii="Arial" w:hAnsi="Arial" w:cs="Arial"/>
            <w:noProof/>
            <w:webHidden/>
          </w:rPr>
          <w:tab/>
        </w:r>
        <w:r w:rsidRPr="0003080C">
          <w:rPr>
            <w:rFonts w:ascii="Arial" w:hAnsi="Arial" w:cs="Arial"/>
            <w:noProof/>
            <w:webHidden/>
          </w:rPr>
          <w:fldChar w:fldCharType="begin"/>
        </w:r>
        <w:r w:rsidR="00AA540F" w:rsidRPr="0003080C">
          <w:rPr>
            <w:rFonts w:ascii="Arial" w:hAnsi="Arial" w:cs="Arial"/>
            <w:noProof/>
            <w:webHidden/>
          </w:rPr>
          <w:instrText xml:space="preserve"> PAGEREF _Toc426364363 \h </w:instrText>
        </w:r>
        <w:r w:rsidRPr="0003080C">
          <w:rPr>
            <w:rFonts w:ascii="Arial" w:hAnsi="Arial" w:cs="Arial"/>
            <w:noProof/>
            <w:webHidden/>
          </w:rPr>
        </w:r>
        <w:r w:rsidRPr="0003080C">
          <w:rPr>
            <w:rFonts w:ascii="Arial" w:hAnsi="Arial" w:cs="Arial"/>
            <w:noProof/>
            <w:webHidden/>
          </w:rPr>
          <w:fldChar w:fldCharType="separate"/>
        </w:r>
        <w:r w:rsidR="006815D6">
          <w:rPr>
            <w:rFonts w:ascii="Arial" w:hAnsi="Arial" w:cs="Arial"/>
            <w:noProof/>
            <w:webHidden/>
          </w:rPr>
          <w:t>2</w:t>
        </w:r>
        <w:r w:rsidRPr="0003080C">
          <w:rPr>
            <w:rFonts w:ascii="Arial" w:hAnsi="Arial" w:cs="Arial"/>
            <w:noProof/>
            <w:webHidden/>
          </w:rPr>
          <w:fldChar w:fldCharType="end"/>
        </w:r>
      </w:hyperlink>
    </w:p>
    <w:p w:rsidR="00E130BC" w:rsidRPr="0003080C" w:rsidRDefault="0022351C">
      <w:pPr>
        <w:pStyle w:val="TOC2"/>
      </w:pPr>
      <w:hyperlink w:anchor="_Toc426364364" w:history="1">
        <w:r w:rsidR="00AA540F" w:rsidRPr="0003080C">
          <w:rPr>
            <w:rStyle w:val="Hyperlink"/>
          </w:rPr>
          <w:t xml:space="preserve">Executive </w:t>
        </w:r>
        <w:r w:rsidR="0091651C" w:rsidRPr="0003080C">
          <w:rPr>
            <w:rStyle w:val="Hyperlink"/>
            <w:bCs w:val="0"/>
          </w:rPr>
          <w:t>s</w:t>
        </w:r>
        <w:r w:rsidR="00AA540F" w:rsidRPr="0003080C">
          <w:rPr>
            <w:rStyle w:val="Hyperlink"/>
          </w:rPr>
          <w:t>ummary</w:t>
        </w:r>
        <w:r w:rsidR="00AA540F" w:rsidRPr="0003080C">
          <w:rPr>
            <w:webHidden/>
          </w:rPr>
          <w:tab/>
        </w:r>
        <w:r w:rsidR="00954475" w:rsidRPr="0003080C">
          <w:rPr>
            <w:webHidden/>
          </w:rPr>
          <w:fldChar w:fldCharType="begin"/>
        </w:r>
        <w:r w:rsidR="00AA540F" w:rsidRPr="0003080C">
          <w:rPr>
            <w:webHidden/>
          </w:rPr>
          <w:instrText xml:space="preserve"> PAGEREF _Toc426364364 \h </w:instrText>
        </w:r>
        <w:r w:rsidR="00954475" w:rsidRPr="0003080C">
          <w:rPr>
            <w:webHidden/>
          </w:rPr>
        </w:r>
        <w:r w:rsidR="00954475" w:rsidRPr="0003080C">
          <w:rPr>
            <w:webHidden/>
          </w:rPr>
          <w:fldChar w:fldCharType="separate"/>
        </w:r>
        <w:r w:rsidR="006815D6">
          <w:rPr>
            <w:webHidden/>
          </w:rPr>
          <w:t>3</w:t>
        </w:r>
        <w:r w:rsidR="00954475" w:rsidRPr="0003080C">
          <w:rPr>
            <w:webHidden/>
          </w:rPr>
          <w:fldChar w:fldCharType="end"/>
        </w:r>
      </w:hyperlink>
    </w:p>
    <w:p w:rsidR="00E130BC" w:rsidRPr="0003080C" w:rsidRDefault="0022351C">
      <w:pPr>
        <w:pStyle w:val="TOC2"/>
      </w:pPr>
      <w:hyperlink w:anchor="_Toc426364365" w:history="1">
        <w:r w:rsidR="00AA540F" w:rsidRPr="0003080C">
          <w:rPr>
            <w:rStyle w:val="Hyperlink"/>
          </w:rPr>
          <w:t>Discussion</w:t>
        </w:r>
        <w:r w:rsidR="00AA540F" w:rsidRPr="0003080C">
          <w:rPr>
            <w:webHidden/>
          </w:rPr>
          <w:tab/>
        </w:r>
        <w:r w:rsidR="00954475" w:rsidRPr="0003080C">
          <w:rPr>
            <w:webHidden/>
          </w:rPr>
          <w:fldChar w:fldCharType="begin"/>
        </w:r>
        <w:r w:rsidR="00AA540F" w:rsidRPr="0003080C">
          <w:rPr>
            <w:webHidden/>
          </w:rPr>
          <w:instrText xml:space="preserve"> PAGEREF _Toc426364365 \h </w:instrText>
        </w:r>
        <w:r w:rsidR="00954475" w:rsidRPr="0003080C">
          <w:rPr>
            <w:webHidden/>
          </w:rPr>
        </w:r>
        <w:r w:rsidR="00954475" w:rsidRPr="0003080C">
          <w:rPr>
            <w:webHidden/>
          </w:rPr>
          <w:fldChar w:fldCharType="separate"/>
        </w:r>
        <w:r w:rsidR="006815D6">
          <w:rPr>
            <w:webHidden/>
          </w:rPr>
          <w:t>3</w:t>
        </w:r>
        <w:r w:rsidR="00954475" w:rsidRPr="0003080C">
          <w:rPr>
            <w:webHidden/>
          </w:rPr>
          <w:fldChar w:fldCharType="end"/>
        </w:r>
      </w:hyperlink>
    </w:p>
    <w:p w:rsidR="00E130BC" w:rsidRPr="0003080C" w:rsidRDefault="0022351C" w:rsidP="00E130BC">
      <w:pPr>
        <w:pStyle w:val="TOC2"/>
        <w:ind w:left="720"/>
      </w:pPr>
      <w:hyperlink w:anchor="_Toc426364366" w:history="1">
        <w:r w:rsidR="00AA540F" w:rsidRPr="0003080C">
          <w:rPr>
            <w:rStyle w:val="Hyperlink"/>
          </w:rPr>
          <w:t>Background</w:t>
        </w:r>
        <w:r w:rsidR="00AA540F" w:rsidRPr="0003080C">
          <w:rPr>
            <w:webHidden/>
          </w:rPr>
          <w:tab/>
        </w:r>
        <w:r w:rsidR="00954475" w:rsidRPr="0003080C">
          <w:rPr>
            <w:webHidden/>
          </w:rPr>
          <w:fldChar w:fldCharType="begin"/>
        </w:r>
        <w:r w:rsidR="00AA540F" w:rsidRPr="0003080C">
          <w:rPr>
            <w:webHidden/>
          </w:rPr>
          <w:instrText xml:space="preserve"> PAGEREF _Toc426364366 \h </w:instrText>
        </w:r>
        <w:r w:rsidR="00954475" w:rsidRPr="0003080C">
          <w:rPr>
            <w:webHidden/>
          </w:rPr>
        </w:r>
        <w:r w:rsidR="00954475" w:rsidRPr="0003080C">
          <w:rPr>
            <w:webHidden/>
          </w:rPr>
          <w:fldChar w:fldCharType="separate"/>
        </w:r>
        <w:r w:rsidR="006815D6">
          <w:rPr>
            <w:webHidden/>
          </w:rPr>
          <w:t>3</w:t>
        </w:r>
        <w:r w:rsidR="00954475" w:rsidRPr="0003080C">
          <w:rPr>
            <w:webHidden/>
          </w:rPr>
          <w:fldChar w:fldCharType="end"/>
        </w:r>
      </w:hyperlink>
    </w:p>
    <w:p w:rsidR="00E130BC" w:rsidRPr="0003080C" w:rsidRDefault="0022351C" w:rsidP="00E130BC">
      <w:pPr>
        <w:pStyle w:val="TOC2"/>
        <w:ind w:left="720"/>
      </w:pPr>
      <w:hyperlink w:anchor="_Toc426364367" w:history="1">
        <w:r w:rsidR="00E130BC" w:rsidRPr="0003080C">
          <w:rPr>
            <w:rStyle w:val="Hyperlink"/>
            <w:u w:val="none"/>
          </w:rPr>
          <w:t>When a practitioner will be required to sit an examination</w:t>
        </w:r>
        <w:r w:rsidR="00AA540F" w:rsidRPr="0003080C">
          <w:rPr>
            <w:webHidden/>
          </w:rPr>
          <w:tab/>
        </w:r>
        <w:r w:rsidR="00954475" w:rsidRPr="0003080C">
          <w:rPr>
            <w:webHidden/>
          </w:rPr>
          <w:fldChar w:fldCharType="begin"/>
        </w:r>
        <w:r w:rsidR="00E130BC" w:rsidRPr="0003080C">
          <w:rPr>
            <w:webHidden/>
          </w:rPr>
          <w:instrText xml:space="preserve"> PAGEREF _Toc426364367 \h </w:instrText>
        </w:r>
        <w:r w:rsidR="00954475" w:rsidRPr="0003080C">
          <w:rPr>
            <w:webHidden/>
          </w:rPr>
        </w:r>
        <w:r w:rsidR="00954475" w:rsidRPr="0003080C">
          <w:rPr>
            <w:webHidden/>
          </w:rPr>
          <w:fldChar w:fldCharType="separate"/>
        </w:r>
        <w:r w:rsidR="006815D6">
          <w:rPr>
            <w:webHidden/>
          </w:rPr>
          <w:t>3</w:t>
        </w:r>
        <w:r w:rsidR="00954475" w:rsidRPr="0003080C">
          <w:rPr>
            <w:webHidden/>
          </w:rPr>
          <w:fldChar w:fldCharType="end"/>
        </w:r>
      </w:hyperlink>
    </w:p>
    <w:p w:rsidR="00E130BC" w:rsidRPr="0003080C" w:rsidRDefault="0022351C" w:rsidP="00E130BC">
      <w:pPr>
        <w:pStyle w:val="TOC2"/>
        <w:ind w:left="720"/>
      </w:pPr>
      <w:hyperlink w:anchor="_Toc426364368" w:history="1">
        <w:r w:rsidR="00E130BC" w:rsidRPr="0003080C">
          <w:rPr>
            <w:rStyle w:val="Hyperlink"/>
            <w:u w:val="none"/>
          </w:rPr>
          <w:t>Delivery of examination</w:t>
        </w:r>
        <w:r w:rsidR="00AA540F" w:rsidRPr="0003080C">
          <w:rPr>
            <w:webHidden/>
          </w:rPr>
          <w:tab/>
        </w:r>
        <w:r w:rsidR="00954475" w:rsidRPr="0003080C">
          <w:rPr>
            <w:webHidden/>
          </w:rPr>
          <w:fldChar w:fldCharType="begin"/>
        </w:r>
        <w:r w:rsidR="00AA540F" w:rsidRPr="0003080C">
          <w:rPr>
            <w:webHidden/>
          </w:rPr>
          <w:instrText xml:space="preserve"> PAGEREF _Toc426364368 \h </w:instrText>
        </w:r>
        <w:r w:rsidR="00954475" w:rsidRPr="0003080C">
          <w:rPr>
            <w:webHidden/>
          </w:rPr>
        </w:r>
        <w:r w:rsidR="00954475" w:rsidRPr="0003080C">
          <w:rPr>
            <w:webHidden/>
          </w:rPr>
          <w:fldChar w:fldCharType="separate"/>
        </w:r>
        <w:r w:rsidR="006815D6">
          <w:rPr>
            <w:webHidden/>
          </w:rPr>
          <w:t>4</w:t>
        </w:r>
        <w:r w:rsidR="00954475" w:rsidRPr="0003080C">
          <w:rPr>
            <w:webHidden/>
          </w:rPr>
          <w:fldChar w:fldCharType="end"/>
        </w:r>
      </w:hyperlink>
    </w:p>
    <w:p w:rsidR="00E130BC" w:rsidRPr="0003080C" w:rsidRDefault="0022351C" w:rsidP="00E130BC">
      <w:pPr>
        <w:pStyle w:val="TOC2"/>
        <w:ind w:left="720"/>
      </w:pPr>
      <w:hyperlink w:anchor="_Toc426364369" w:history="1">
        <w:r w:rsidR="00E130BC" w:rsidRPr="0003080C">
          <w:rPr>
            <w:rStyle w:val="Hyperlink"/>
          </w:rPr>
          <w:t>The examination</w:t>
        </w:r>
        <w:r w:rsidR="00E130BC" w:rsidRPr="0003080C">
          <w:rPr>
            <w:webHidden/>
          </w:rPr>
          <w:tab/>
        </w:r>
        <w:r w:rsidR="00954475" w:rsidRPr="0003080C">
          <w:rPr>
            <w:webHidden/>
          </w:rPr>
          <w:fldChar w:fldCharType="begin"/>
        </w:r>
        <w:r w:rsidR="00E130BC" w:rsidRPr="0003080C">
          <w:rPr>
            <w:webHidden/>
          </w:rPr>
          <w:instrText xml:space="preserve"> PAGEREF _Toc426364369 \h </w:instrText>
        </w:r>
        <w:r w:rsidR="00954475" w:rsidRPr="0003080C">
          <w:rPr>
            <w:webHidden/>
          </w:rPr>
        </w:r>
        <w:r w:rsidR="00954475" w:rsidRPr="0003080C">
          <w:rPr>
            <w:webHidden/>
          </w:rPr>
          <w:fldChar w:fldCharType="separate"/>
        </w:r>
        <w:r w:rsidR="006815D6">
          <w:rPr>
            <w:webHidden/>
          </w:rPr>
          <w:t>5</w:t>
        </w:r>
        <w:r w:rsidR="00954475" w:rsidRPr="0003080C">
          <w:rPr>
            <w:webHidden/>
          </w:rPr>
          <w:fldChar w:fldCharType="end"/>
        </w:r>
      </w:hyperlink>
    </w:p>
    <w:p w:rsidR="00E130BC" w:rsidRPr="0003080C" w:rsidRDefault="0022351C" w:rsidP="00E130BC">
      <w:pPr>
        <w:pStyle w:val="TOC2"/>
        <w:ind w:left="720"/>
      </w:pPr>
      <w:hyperlink w:anchor="_Toc426364370" w:history="1">
        <w:r w:rsidR="00E130BC" w:rsidRPr="0003080C">
          <w:rPr>
            <w:rStyle w:val="Hyperlink"/>
            <w:u w:val="none"/>
          </w:rPr>
          <w:t>Use of examination results</w:t>
        </w:r>
        <w:r w:rsidR="00AA540F" w:rsidRPr="0003080C">
          <w:rPr>
            <w:webHidden/>
          </w:rPr>
          <w:tab/>
        </w:r>
        <w:r w:rsidR="00954475" w:rsidRPr="0003080C">
          <w:rPr>
            <w:webHidden/>
          </w:rPr>
          <w:fldChar w:fldCharType="begin"/>
        </w:r>
        <w:r w:rsidR="00AA540F" w:rsidRPr="0003080C">
          <w:rPr>
            <w:webHidden/>
          </w:rPr>
          <w:instrText xml:space="preserve"> PAGEREF _Toc426364370 \h </w:instrText>
        </w:r>
        <w:r w:rsidR="00954475" w:rsidRPr="0003080C">
          <w:rPr>
            <w:webHidden/>
          </w:rPr>
        </w:r>
        <w:r w:rsidR="00954475" w:rsidRPr="0003080C">
          <w:rPr>
            <w:webHidden/>
          </w:rPr>
          <w:fldChar w:fldCharType="separate"/>
        </w:r>
        <w:r w:rsidR="006815D6">
          <w:rPr>
            <w:webHidden/>
          </w:rPr>
          <w:t>5</w:t>
        </w:r>
        <w:r w:rsidR="00954475" w:rsidRPr="0003080C">
          <w:rPr>
            <w:webHidden/>
          </w:rPr>
          <w:fldChar w:fldCharType="end"/>
        </w:r>
      </w:hyperlink>
    </w:p>
    <w:p w:rsidR="00E130BC" w:rsidRPr="0003080C" w:rsidRDefault="0022351C">
      <w:pPr>
        <w:pStyle w:val="TOC2"/>
      </w:pPr>
      <w:hyperlink w:anchor="_Toc426364371" w:history="1">
        <w:r w:rsidR="00AA540F" w:rsidRPr="0003080C">
          <w:rPr>
            <w:rStyle w:val="Hyperlink"/>
          </w:rPr>
          <w:t>Options statement</w:t>
        </w:r>
        <w:r w:rsidR="00AA540F" w:rsidRPr="0003080C">
          <w:rPr>
            <w:webHidden/>
          </w:rPr>
          <w:tab/>
        </w:r>
        <w:r w:rsidR="00954475" w:rsidRPr="0003080C">
          <w:rPr>
            <w:webHidden/>
          </w:rPr>
          <w:fldChar w:fldCharType="begin"/>
        </w:r>
        <w:r w:rsidR="00AA540F" w:rsidRPr="0003080C">
          <w:rPr>
            <w:webHidden/>
          </w:rPr>
          <w:instrText xml:space="preserve"> PAGEREF _Toc426364371 \h </w:instrText>
        </w:r>
        <w:r w:rsidR="00954475" w:rsidRPr="0003080C">
          <w:rPr>
            <w:webHidden/>
          </w:rPr>
        </w:r>
        <w:r w:rsidR="00954475" w:rsidRPr="0003080C">
          <w:rPr>
            <w:webHidden/>
          </w:rPr>
          <w:fldChar w:fldCharType="separate"/>
        </w:r>
        <w:r w:rsidR="006815D6">
          <w:rPr>
            <w:webHidden/>
          </w:rPr>
          <w:t>5</w:t>
        </w:r>
        <w:r w:rsidR="00954475" w:rsidRPr="0003080C">
          <w:rPr>
            <w:webHidden/>
          </w:rPr>
          <w:fldChar w:fldCharType="end"/>
        </w:r>
      </w:hyperlink>
    </w:p>
    <w:p w:rsidR="00011B9C" w:rsidRPr="0003080C" w:rsidRDefault="00011B9C" w:rsidP="000A347D">
      <w:pPr>
        <w:pStyle w:val="TOC2"/>
      </w:pPr>
      <w:r w:rsidRPr="0003080C">
        <w:t>Analysis of options</w:t>
      </w:r>
      <w:r w:rsidRPr="0003080C">
        <w:tab/>
        <w:t>6</w:t>
      </w:r>
    </w:p>
    <w:p w:rsidR="00E130BC" w:rsidRPr="0003080C" w:rsidRDefault="0022351C">
      <w:pPr>
        <w:pStyle w:val="TOC2"/>
      </w:pPr>
      <w:hyperlink w:anchor="_Toc426364373" w:history="1">
        <w:r w:rsidR="00AA540F" w:rsidRPr="0003080C">
          <w:rPr>
            <w:rStyle w:val="Hyperlink"/>
          </w:rPr>
          <w:t>Relevant sections of the National Law</w:t>
        </w:r>
        <w:r w:rsidR="00AA540F" w:rsidRPr="0003080C">
          <w:rPr>
            <w:webHidden/>
          </w:rPr>
          <w:tab/>
        </w:r>
        <w:r w:rsidR="00011B9C" w:rsidRPr="0003080C">
          <w:rPr>
            <w:webHidden/>
          </w:rPr>
          <w:t>6</w:t>
        </w:r>
      </w:hyperlink>
    </w:p>
    <w:p w:rsidR="00AA540F" w:rsidRPr="0003080C" w:rsidRDefault="0022351C" w:rsidP="00AA540F">
      <w:pPr>
        <w:pStyle w:val="TOC1"/>
        <w:tabs>
          <w:tab w:val="clear" w:pos="9016"/>
          <w:tab w:val="right" w:leader="dot" w:pos="8364"/>
        </w:tabs>
        <w:ind w:right="521"/>
        <w:rPr>
          <w:rFonts w:ascii="Arial" w:eastAsiaTheme="minorEastAsia" w:hAnsi="Arial" w:cs="Arial"/>
          <w:noProof/>
          <w:lang w:eastAsia="en-AU"/>
        </w:rPr>
      </w:pPr>
      <w:hyperlink w:anchor="_Toc426364374" w:history="1">
        <w:r w:rsidR="00AA540F" w:rsidRPr="0003080C">
          <w:rPr>
            <w:rStyle w:val="Hyperlink"/>
            <w:rFonts w:ascii="Arial" w:hAnsi="Arial" w:cs="Arial"/>
            <w:noProof/>
          </w:rPr>
          <w:t>Questions for consideration</w:t>
        </w:r>
        <w:r w:rsidR="00AA540F" w:rsidRPr="0003080C">
          <w:rPr>
            <w:rFonts w:ascii="Arial" w:hAnsi="Arial" w:cs="Arial"/>
            <w:noProof/>
            <w:webHidden/>
          </w:rPr>
          <w:tab/>
        </w:r>
      </w:hyperlink>
      <w:r w:rsidR="003767FF" w:rsidRPr="0003080C">
        <w:rPr>
          <w:rFonts w:ascii="Arial" w:hAnsi="Arial" w:cs="Arial"/>
        </w:rPr>
        <w:t>7</w:t>
      </w:r>
    </w:p>
    <w:p w:rsidR="00AA540F" w:rsidRPr="0003080C" w:rsidRDefault="0022351C" w:rsidP="00AA540F">
      <w:pPr>
        <w:pStyle w:val="TOC1"/>
        <w:tabs>
          <w:tab w:val="clear" w:pos="9016"/>
          <w:tab w:val="right" w:leader="dot" w:pos="8364"/>
        </w:tabs>
        <w:ind w:right="521"/>
        <w:rPr>
          <w:rFonts w:ascii="Arial" w:eastAsiaTheme="minorEastAsia" w:hAnsi="Arial" w:cs="Arial"/>
          <w:noProof/>
          <w:lang w:eastAsia="en-AU"/>
        </w:rPr>
      </w:pPr>
      <w:hyperlink w:anchor="_Toc426364375" w:history="1">
        <w:r w:rsidR="00AA540F" w:rsidRPr="0003080C">
          <w:rPr>
            <w:rStyle w:val="Hyperlink"/>
            <w:rFonts w:ascii="Arial" w:hAnsi="Arial" w:cs="Arial"/>
            <w:noProof/>
          </w:rPr>
          <w:t>Draft National examination guideline</w:t>
        </w:r>
        <w:r w:rsidR="0091651C" w:rsidRPr="0003080C">
          <w:rPr>
            <w:rStyle w:val="Hyperlink"/>
            <w:rFonts w:ascii="Arial" w:hAnsi="Arial" w:cs="Arial"/>
            <w:noProof/>
          </w:rPr>
          <w:t>s</w:t>
        </w:r>
        <w:r w:rsidR="00AA540F" w:rsidRPr="0003080C">
          <w:rPr>
            <w:rFonts w:ascii="Arial" w:hAnsi="Arial" w:cs="Arial"/>
            <w:noProof/>
            <w:webHidden/>
          </w:rPr>
          <w:tab/>
        </w:r>
      </w:hyperlink>
      <w:r w:rsidR="003767FF" w:rsidRPr="0003080C">
        <w:rPr>
          <w:rFonts w:ascii="Arial" w:hAnsi="Arial" w:cs="Arial"/>
        </w:rPr>
        <w:t>8</w:t>
      </w:r>
    </w:p>
    <w:p w:rsidR="00AA540F" w:rsidRPr="0003080C" w:rsidRDefault="0022351C" w:rsidP="00AA540F">
      <w:pPr>
        <w:pStyle w:val="TOC1"/>
        <w:tabs>
          <w:tab w:val="clear" w:pos="9016"/>
          <w:tab w:val="right" w:leader="dot" w:pos="8364"/>
        </w:tabs>
        <w:ind w:right="521"/>
        <w:rPr>
          <w:rFonts w:ascii="Arial" w:eastAsiaTheme="minorEastAsia" w:hAnsi="Arial" w:cs="Arial"/>
          <w:noProof/>
          <w:lang w:eastAsia="en-AU"/>
        </w:rPr>
      </w:pPr>
      <w:hyperlink w:anchor="_Toc426364377" w:history="1">
        <w:r w:rsidR="00AA540F" w:rsidRPr="0003080C">
          <w:rPr>
            <w:rStyle w:val="Hyperlink"/>
            <w:rFonts w:ascii="Arial" w:eastAsia="Cambria" w:hAnsi="Arial" w:cs="Arial"/>
            <w:noProof/>
            <w:lang w:eastAsia="en-AU"/>
          </w:rPr>
          <w:t>Statement of assessment</w:t>
        </w:r>
        <w:r w:rsidR="00AA540F" w:rsidRPr="0003080C">
          <w:rPr>
            <w:rFonts w:ascii="Arial" w:hAnsi="Arial" w:cs="Arial"/>
            <w:noProof/>
            <w:webHidden/>
          </w:rPr>
          <w:tab/>
        </w:r>
      </w:hyperlink>
      <w:r w:rsidR="003767FF" w:rsidRPr="0003080C">
        <w:rPr>
          <w:rFonts w:ascii="Arial" w:hAnsi="Arial" w:cs="Arial"/>
        </w:rPr>
        <w:t>14</w:t>
      </w:r>
    </w:p>
    <w:p w:rsidR="00AE2A58" w:rsidRPr="00E53EAF" w:rsidRDefault="00954475" w:rsidP="00AA540F">
      <w:pPr>
        <w:pStyle w:val="Default"/>
        <w:tabs>
          <w:tab w:val="right" w:leader="dot" w:pos="8364"/>
        </w:tabs>
        <w:spacing w:before="200"/>
        <w:ind w:right="521"/>
        <w:rPr>
          <w:bCs/>
          <w:sz w:val="20"/>
          <w:szCs w:val="20"/>
        </w:rPr>
        <w:sectPr w:rsidR="00AE2A58" w:rsidRPr="00E53EAF" w:rsidSect="001933F4">
          <w:pgSz w:w="11906" w:h="16838"/>
          <w:pgMar w:top="1727" w:right="1440" w:bottom="1418" w:left="1440" w:header="709" w:footer="366" w:gutter="0"/>
          <w:cols w:space="708"/>
          <w:docGrid w:linePitch="360"/>
        </w:sectPr>
      </w:pPr>
      <w:r w:rsidRPr="00AA540F">
        <w:rPr>
          <w:sz w:val="20"/>
          <w:szCs w:val="20"/>
        </w:rPr>
        <w:fldChar w:fldCharType="end"/>
      </w:r>
    </w:p>
    <w:p w:rsidR="005B754A" w:rsidRPr="005B754A" w:rsidRDefault="005B754A" w:rsidP="00AB4A62">
      <w:pPr>
        <w:pStyle w:val="AHPRASubheadinglevel2"/>
        <w:spacing w:before="0" w:after="120"/>
        <w:rPr>
          <w:rFonts w:eastAsiaTheme="minorHAnsi" w:cs="Arial"/>
          <w:bCs/>
          <w:color w:val="007DC3"/>
          <w:szCs w:val="20"/>
          <w:lang w:val="en-AU" w:eastAsia="en-AU"/>
        </w:rPr>
      </w:pPr>
      <w:bookmarkStart w:id="10" w:name="_Toc426364364"/>
      <w:r w:rsidRPr="005B754A">
        <w:rPr>
          <w:rFonts w:eastAsiaTheme="minorHAnsi" w:cs="Arial"/>
          <w:bCs/>
          <w:color w:val="007DC3"/>
          <w:szCs w:val="20"/>
          <w:lang w:val="en-AU" w:eastAsia="en-AU"/>
        </w:rPr>
        <w:lastRenderedPageBreak/>
        <w:t xml:space="preserve">Executive </w:t>
      </w:r>
      <w:r w:rsidR="0091651C">
        <w:rPr>
          <w:rFonts w:eastAsiaTheme="minorHAnsi" w:cs="Arial"/>
          <w:bCs/>
          <w:color w:val="007DC3"/>
          <w:szCs w:val="20"/>
          <w:lang w:val="en-AU" w:eastAsia="en-AU"/>
        </w:rPr>
        <w:t>s</w:t>
      </w:r>
      <w:r w:rsidRPr="005B754A">
        <w:rPr>
          <w:rFonts w:eastAsiaTheme="minorHAnsi" w:cs="Arial"/>
          <w:bCs/>
          <w:color w:val="007DC3"/>
          <w:szCs w:val="20"/>
          <w:lang w:val="en-AU" w:eastAsia="en-AU"/>
        </w:rPr>
        <w:t>ummary</w:t>
      </w:r>
      <w:bookmarkEnd w:id="10"/>
    </w:p>
    <w:p w:rsidR="00B93981" w:rsidRDefault="0058239E" w:rsidP="00170614">
      <w:pPr>
        <w:pStyle w:val="AHPRAbodyContextparanumbered"/>
        <w:ind w:left="0" w:hanging="425"/>
        <w:rPr>
          <w:rFonts w:eastAsia="Times New Roman"/>
        </w:rPr>
      </w:pPr>
      <w:r w:rsidRPr="00E53EAF">
        <w:rPr>
          <w:rFonts w:eastAsia="Times New Roman"/>
        </w:rPr>
        <w:t>The Medical Radiation Practice Board of Australia (</w:t>
      </w:r>
      <w:r w:rsidR="0091651C">
        <w:rPr>
          <w:rFonts w:eastAsia="Times New Roman"/>
        </w:rPr>
        <w:t xml:space="preserve">the </w:t>
      </w:r>
      <w:r w:rsidRPr="00E53EAF">
        <w:rPr>
          <w:rFonts w:eastAsia="Times New Roman"/>
        </w:rPr>
        <w:t xml:space="preserve">Board) is </w:t>
      </w:r>
      <w:r w:rsidR="00B93981">
        <w:rPr>
          <w:rFonts w:eastAsia="Times New Roman"/>
        </w:rPr>
        <w:t xml:space="preserve">consulting on draft </w:t>
      </w:r>
      <w:r w:rsidR="00E130BC" w:rsidRPr="00E130BC">
        <w:rPr>
          <w:rFonts w:eastAsia="Times New Roman"/>
          <w:i/>
        </w:rPr>
        <w:t>National examination guidelines</w:t>
      </w:r>
      <w:r w:rsidR="00B93981">
        <w:rPr>
          <w:rFonts w:eastAsia="Times New Roman"/>
        </w:rPr>
        <w:t>.</w:t>
      </w:r>
    </w:p>
    <w:p w:rsidR="00766317" w:rsidRPr="00766317" w:rsidRDefault="00766317" w:rsidP="00170614">
      <w:pPr>
        <w:pStyle w:val="AHPRAbodyContextparanumbered"/>
        <w:ind w:left="0" w:hanging="425"/>
        <w:rPr>
          <w:szCs w:val="20"/>
        </w:rPr>
      </w:pPr>
      <w:r w:rsidRPr="00E53EAF">
        <w:rPr>
          <w:szCs w:val="20"/>
        </w:rPr>
        <w:t xml:space="preserve">The </w:t>
      </w:r>
      <w:r>
        <w:rPr>
          <w:szCs w:val="20"/>
        </w:rPr>
        <w:t>purpose of the examination is to provide an objective measure of an individual’s capacity to demonstrate the minimum applied knowledge necessary for general registration. The examination</w:t>
      </w:r>
      <w:r w:rsidRPr="00766317">
        <w:rPr>
          <w:szCs w:val="20"/>
        </w:rPr>
        <w:t xml:space="preserve"> </w:t>
      </w:r>
      <w:r>
        <w:rPr>
          <w:szCs w:val="20"/>
        </w:rPr>
        <w:t>is based on the</w:t>
      </w:r>
      <w:r w:rsidRPr="00C67099">
        <w:rPr>
          <w:szCs w:val="20"/>
        </w:rPr>
        <w:t xml:space="preserve"> </w:t>
      </w:r>
      <w:hyperlink r:id="rId12" w:history="1">
        <w:r w:rsidR="00E130BC" w:rsidRPr="00E130BC">
          <w:rPr>
            <w:rStyle w:val="Hyperlink"/>
            <w:szCs w:val="20"/>
          </w:rPr>
          <w:t>Professional capabilities for medical radiation practice</w:t>
        </w:r>
      </w:hyperlink>
      <w:r w:rsidRPr="00766317">
        <w:rPr>
          <w:rFonts w:eastAsia="Times New Roman"/>
        </w:rPr>
        <w:t>, which describe the entry level professional capabilities for the three divisions of medical radiation practice.</w:t>
      </w:r>
    </w:p>
    <w:p w:rsidR="009F571F" w:rsidRPr="00766317" w:rsidRDefault="00B93981" w:rsidP="00170614">
      <w:pPr>
        <w:pStyle w:val="AHPRAbodyContextparanumbered"/>
        <w:ind w:left="0" w:hanging="425"/>
        <w:rPr>
          <w:rFonts w:eastAsia="Times New Roman"/>
        </w:rPr>
      </w:pPr>
      <w:r>
        <w:rPr>
          <w:rFonts w:eastAsia="Times New Roman"/>
        </w:rPr>
        <w:t xml:space="preserve">The draft </w:t>
      </w:r>
      <w:r w:rsidR="00E130BC" w:rsidRPr="00E130BC">
        <w:rPr>
          <w:rFonts w:eastAsia="Times New Roman"/>
          <w:i/>
        </w:rPr>
        <w:t>National examination guidelines</w:t>
      </w:r>
      <w:r>
        <w:rPr>
          <w:rFonts w:eastAsia="Times New Roman"/>
        </w:rPr>
        <w:t xml:space="preserve"> </w:t>
      </w:r>
      <w:r w:rsidR="00FF0EA7">
        <w:rPr>
          <w:rFonts w:eastAsia="Times New Roman"/>
        </w:rPr>
        <w:t xml:space="preserve">provide information and guidance to individuals who may be required to undertake an examination either </w:t>
      </w:r>
      <w:r w:rsidR="0091651C">
        <w:rPr>
          <w:rFonts w:eastAsia="Times New Roman"/>
        </w:rPr>
        <w:t>before</w:t>
      </w:r>
      <w:r w:rsidR="00FF0EA7">
        <w:rPr>
          <w:rFonts w:eastAsia="Times New Roman"/>
        </w:rPr>
        <w:t xml:space="preserve"> being registered by the Board or where provision is made for an examination or assessment in an approved registration standard</w:t>
      </w:r>
      <w:r w:rsidR="00FF0EA7">
        <w:rPr>
          <w:rStyle w:val="FootnoteReference"/>
          <w:rFonts w:eastAsia="Times New Roman"/>
        </w:rPr>
        <w:footnoteReference w:id="1"/>
      </w:r>
      <w:r w:rsidR="00FF0EA7">
        <w:rPr>
          <w:rFonts w:eastAsia="Times New Roman"/>
        </w:rPr>
        <w:t>.</w:t>
      </w:r>
    </w:p>
    <w:p w:rsidR="00392B85" w:rsidRDefault="00AA540F" w:rsidP="005B754A">
      <w:pPr>
        <w:pStyle w:val="AHPRASubheadinglevel2"/>
        <w:spacing w:before="360" w:after="120"/>
        <w:rPr>
          <w:rFonts w:eastAsiaTheme="minorHAnsi" w:cs="Arial"/>
          <w:bCs/>
          <w:color w:val="007DC3"/>
          <w:szCs w:val="20"/>
          <w:lang w:val="en-AU" w:eastAsia="en-AU"/>
        </w:rPr>
      </w:pPr>
      <w:bookmarkStart w:id="11" w:name="_Toc426364365"/>
      <w:r>
        <w:rPr>
          <w:rFonts w:eastAsiaTheme="minorHAnsi" w:cs="Arial"/>
          <w:bCs/>
          <w:color w:val="007DC3"/>
          <w:szCs w:val="20"/>
          <w:lang w:val="en-AU" w:eastAsia="en-AU"/>
        </w:rPr>
        <w:t>Discussion</w:t>
      </w:r>
      <w:bookmarkEnd w:id="11"/>
    </w:p>
    <w:p w:rsidR="00AA540F" w:rsidRPr="000A347D" w:rsidRDefault="00E130BC" w:rsidP="00AA540F">
      <w:pPr>
        <w:pStyle w:val="AHPRASubheadinglevel2"/>
        <w:spacing w:before="240" w:after="120"/>
        <w:rPr>
          <w:rFonts w:eastAsiaTheme="minorHAnsi" w:cs="Arial"/>
          <w:bCs/>
          <w:szCs w:val="20"/>
          <w:lang w:val="en-AU" w:eastAsia="en-AU"/>
        </w:rPr>
      </w:pPr>
      <w:bookmarkStart w:id="12" w:name="_Toc426364366"/>
      <w:r w:rsidRPr="00E130BC">
        <w:rPr>
          <w:rFonts w:eastAsiaTheme="minorHAnsi" w:cs="Arial"/>
          <w:bCs/>
          <w:szCs w:val="20"/>
          <w:lang w:val="en-AU" w:eastAsia="en-AU"/>
        </w:rPr>
        <w:t>Background</w:t>
      </w:r>
      <w:bookmarkEnd w:id="12"/>
    </w:p>
    <w:p w:rsidR="00C84E5E" w:rsidRPr="00C67099" w:rsidRDefault="00C84E5E" w:rsidP="00170614">
      <w:pPr>
        <w:pStyle w:val="AHPRAbodyContextparanumbered"/>
        <w:ind w:left="0" w:hanging="425"/>
        <w:rPr>
          <w:szCs w:val="20"/>
        </w:rPr>
      </w:pPr>
      <w:r w:rsidRPr="00C67099">
        <w:rPr>
          <w:szCs w:val="20"/>
        </w:rPr>
        <w:t>In December 2013 the Board published</w:t>
      </w:r>
      <w:r w:rsidR="00C67099" w:rsidRPr="00C67099">
        <w:rPr>
          <w:szCs w:val="20"/>
        </w:rPr>
        <w:t xml:space="preserve"> </w:t>
      </w:r>
      <w:r w:rsidR="0003080C" w:rsidRPr="0003080C">
        <w:rPr>
          <w:rFonts w:eastAsia="Times New Roman"/>
          <w:i/>
        </w:rPr>
        <w:t>Professional capabilities for medical radiation practice</w:t>
      </w:r>
      <w:r w:rsidR="00E130BC" w:rsidRPr="0003080C">
        <w:rPr>
          <w:i/>
          <w:color w:val="0563C1" w:themeColor="hyperlink"/>
          <w:szCs w:val="20"/>
          <w:u w:val="single"/>
        </w:rPr>
        <w:t>.</w:t>
      </w:r>
      <w:r w:rsidRPr="00C67099">
        <w:rPr>
          <w:szCs w:val="20"/>
        </w:rPr>
        <w:t xml:space="preserve"> The capability statements identify the minimum knowledge, skills and professional attributes necessary for safe, independent practice in the divisions of diagnostic radiography, nuclear medicine technology and radiation therapy. In order to be granted general registration, a medical radiation practitioner must </w:t>
      </w:r>
      <w:r w:rsidR="00C67099" w:rsidRPr="00C67099">
        <w:rPr>
          <w:szCs w:val="20"/>
        </w:rPr>
        <w:t xml:space="preserve">demonstrate that they </w:t>
      </w:r>
      <w:r w:rsidRPr="00C67099">
        <w:rPr>
          <w:szCs w:val="20"/>
        </w:rPr>
        <w:t>mee</w:t>
      </w:r>
      <w:r w:rsidR="009D6C48">
        <w:rPr>
          <w:szCs w:val="20"/>
        </w:rPr>
        <w:t xml:space="preserve">t the </w:t>
      </w:r>
      <w:r w:rsidR="009D6C48" w:rsidRPr="009D6C48">
        <w:rPr>
          <w:i/>
          <w:szCs w:val="20"/>
        </w:rPr>
        <w:t>P</w:t>
      </w:r>
      <w:r w:rsidR="00C67099" w:rsidRPr="009D6C48">
        <w:rPr>
          <w:i/>
          <w:szCs w:val="20"/>
        </w:rPr>
        <w:t>rofessional capabilities</w:t>
      </w:r>
      <w:r w:rsidR="00C67099" w:rsidRPr="00C67099">
        <w:rPr>
          <w:szCs w:val="20"/>
        </w:rPr>
        <w:t xml:space="preserve"> </w:t>
      </w:r>
      <w:r w:rsidRPr="00C67099">
        <w:rPr>
          <w:szCs w:val="20"/>
        </w:rPr>
        <w:t xml:space="preserve">for practice in the profession. </w:t>
      </w:r>
    </w:p>
    <w:p w:rsidR="00766317" w:rsidRDefault="00C67099" w:rsidP="00170614">
      <w:pPr>
        <w:pStyle w:val="AHPRAbodyContextparanumbered"/>
        <w:ind w:left="0" w:hanging="425"/>
        <w:rPr>
          <w:szCs w:val="20"/>
        </w:rPr>
      </w:pPr>
      <w:r w:rsidRPr="00C67099">
        <w:rPr>
          <w:szCs w:val="20"/>
        </w:rPr>
        <w:t>Approved programs of study undergo accreditation and periodic monitoring to ensure that the education provider and the approved program continue to meet the accreditation standards</w:t>
      </w:r>
      <w:r w:rsidR="000A347D">
        <w:rPr>
          <w:szCs w:val="20"/>
        </w:rPr>
        <w:t>.</w:t>
      </w:r>
      <w:r w:rsidRPr="00C67099">
        <w:rPr>
          <w:szCs w:val="20"/>
        </w:rPr>
        <w:t xml:space="preserve"> </w:t>
      </w:r>
      <w:r w:rsidR="00FB3A97" w:rsidRPr="00C67099">
        <w:rPr>
          <w:szCs w:val="20"/>
        </w:rPr>
        <w:t>Graduates of approved programs of study will meet</w:t>
      </w:r>
      <w:r w:rsidR="00AD40C8" w:rsidRPr="00C67099">
        <w:rPr>
          <w:szCs w:val="20"/>
        </w:rPr>
        <w:t xml:space="preserve"> the</w:t>
      </w:r>
      <w:r w:rsidR="00FB3A97" w:rsidRPr="00C67099">
        <w:rPr>
          <w:szCs w:val="20"/>
        </w:rPr>
        <w:t xml:space="preserve"> </w:t>
      </w:r>
      <w:r w:rsidR="0003080C" w:rsidRPr="0003080C">
        <w:rPr>
          <w:i/>
          <w:szCs w:val="20"/>
        </w:rPr>
        <w:t>Professional capabilities for medical radiation practice</w:t>
      </w:r>
      <w:r w:rsidRPr="00C67099">
        <w:rPr>
          <w:szCs w:val="20"/>
        </w:rPr>
        <w:t xml:space="preserve"> through the application of</w:t>
      </w:r>
      <w:r w:rsidRPr="00C67099">
        <w:rPr>
          <w:i/>
          <w:szCs w:val="20"/>
        </w:rPr>
        <w:t xml:space="preserve"> </w:t>
      </w:r>
      <w:hyperlink r:id="rId13" w:history="1">
        <w:r w:rsidR="00E130BC" w:rsidRPr="00E130BC">
          <w:rPr>
            <w:rStyle w:val="Hyperlink"/>
            <w:szCs w:val="20"/>
          </w:rPr>
          <w:t>approved accreditation standards for the medical radiation practice profession</w:t>
        </w:r>
      </w:hyperlink>
      <w:r w:rsidR="00AD40C8" w:rsidRPr="00C67099">
        <w:rPr>
          <w:i/>
          <w:szCs w:val="20"/>
        </w:rPr>
        <w:t>.</w:t>
      </w:r>
      <w:r w:rsidR="00C84E5E" w:rsidRPr="00C67099">
        <w:rPr>
          <w:szCs w:val="20"/>
        </w:rPr>
        <w:t xml:space="preserve"> </w:t>
      </w:r>
    </w:p>
    <w:p w:rsidR="00015889" w:rsidRDefault="002034F4" w:rsidP="009D19A9">
      <w:pPr>
        <w:pStyle w:val="AHPRAbodyContextparanumbered"/>
        <w:ind w:left="0" w:hanging="425"/>
        <w:rPr>
          <w:szCs w:val="20"/>
        </w:rPr>
      </w:pPr>
      <w:r>
        <w:rPr>
          <w:szCs w:val="20"/>
        </w:rPr>
        <w:t xml:space="preserve">In April 2014 the Standing Council on Health, meeting as the Australian Health Workforce Ministerial Council, approved the </w:t>
      </w:r>
      <w:hyperlink r:id="rId14" w:history="1">
        <w:r w:rsidR="00E130BC" w:rsidRPr="00E130BC">
          <w:rPr>
            <w:rStyle w:val="Hyperlink"/>
            <w:szCs w:val="20"/>
          </w:rPr>
          <w:t>Supervised practice registration standard</w:t>
        </w:r>
      </w:hyperlink>
      <w:r w:rsidRPr="00766317">
        <w:rPr>
          <w:i/>
          <w:szCs w:val="20"/>
        </w:rPr>
        <w:t xml:space="preserve"> </w:t>
      </w:r>
      <w:r>
        <w:rPr>
          <w:szCs w:val="20"/>
        </w:rPr>
        <w:t xml:space="preserve">for the medical radiation practice profession. The standard includes a provision that allows the Board to require a supervised practitioner to </w:t>
      </w:r>
      <w:r w:rsidR="000A347D">
        <w:rPr>
          <w:szCs w:val="20"/>
        </w:rPr>
        <w:t>‘</w:t>
      </w:r>
      <w:r w:rsidRPr="00766317">
        <w:rPr>
          <w:i/>
          <w:szCs w:val="20"/>
        </w:rPr>
        <w:t>undertake an examination or assessment approved by the Board</w:t>
      </w:r>
      <w:r w:rsidR="000A347D">
        <w:rPr>
          <w:i/>
          <w:szCs w:val="20"/>
        </w:rPr>
        <w:t>’</w:t>
      </w:r>
      <w:r w:rsidR="0092094B">
        <w:rPr>
          <w:i/>
          <w:szCs w:val="20"/>
        </w:rPr>
        <w:t>.</w:t>
      </w:r>
      <w:r>
        <w:rPr>
          <w:szCs w:val="20"/>
        </w:rPr>
        <w:t xml:space="preserve"> </w:t>
      </w:r>
    </w:p>
    <w:p w:rsidR="005C1927" w:rsidRDefault="005C1927" w:rsidP="005C1927">
      <w:pPr>
        <w:pStyle w:val="AHPRAbodyContextparanumbered"/>
        <w:ind w:left="0" w:hanging="425"/>
        <w:rPr>
          <w:szCs w:val="20"/>
        </w:rPr>
      </w:pPr>
      <w:r>
        <w:rPr>
          <w:szCs w:val="20"/>
        </w:rPr>
        <w:t xml:space="preserve">The purpose of the </w:t>
      </w:r>
      <w:r w:rsidRPr="00E130BC">
        <w:rPr>
          <w:i/>
          <w:szCs w:val="20"/>
        </w:rPr>
        <w:t>National examination guidelines</w:t>
      </w:r>
      <w:r>
        <w:rPr>
          <w:szCs w:val="20"/>
        </w:rPr>
        <w:t xml:space="preserve"> is to provide information and guidance to practitioners who are required to sit an examination. The guidelines provide information in relation to: </w:t>
      </w:r>
    </w:p>
    <w:p w:rsidR="005C1927" w:rsidRPr="00E53EAF" w:rsidRDefault="005C1927" w:rsidP="005C1927">
      <w:pPr>
        <w:numPr>
          <w:ilvl w:val="0"/>
          <w:numId w:val="7"/>
        </w:numPr>
        <w:spacing w:before="120" w:after="120" w:line="240" w:lineRule="auto"/>
        <w:ind w:left="641" w:hanging="357"/>
        <w:rPr>
          <w:rFonts w:ascii="Arial" w:hAnsi="Arial" w:cs="Arial"/>
          <w:sz w:val="20"/>
          <w:szCs w:val="20"/>
        </w:rPr>
      </w:pPr>
      <w:r w:rsidRPr="00E53EAF">
        <w:rPr>
          <w:rFonts w:ascii="Arial" w:hAnsi="Arial" w:cs="Arial"/>
          <w:sz w:val="20"/>
          <w:szCs w:val="20"/>
        </w:rPr>
        <w:t>the format and requirements of the examination</w:t>
      </w:r>
    </w:p>
    <w:p w:rsidR="005C1927" w:rsidRPr="00E53EAF" w:rsidRDefault="005C1927" w:rsidP="005C1927">
      <w:pPr>
        <w:numPr>
          <w:ilvl w:val="0"/>
          <w:numId w:val="7"/>
        </w:numPr>
        <w:spacing w:before="120" w:after="120" w:line="240" w:lineRule="auto"/>
        <w:ind w:left="641" w:hanging="357"/>
        <w:rPr>
          <w:rFonts w:ascii="Arial" w:hAnsi="Arial" w:cs="Arial"/>
          <w:sz w:val="20"/>
          <w:szCs w:val="20"/>
        </w:rPr>
      </w:pPr>
      <w:r w:rsidRPr="00E53EAF">
        <w:rPr>
          <w:rFonts w:ascii="Arial" w:hAnsi="Arial" w:cs="Arial"/>
          <w:sz w:val="20"/>
          <w:szCs w:val="20"/>
        </w:rPr>
        <w:t>the capabilities required to satisfy the requirements of the examination</w:t>
      </w:r>
    </w:p>
    <w:p w:rsidR="005C1927" w:rsidRPr="00E53EAF" w:rsidRDefault="005C1927" w:rsidP="005C1927">
      <w:pPr>
        <w:numPr>
          <w:ilvl w:val="0"/>
          <w:numId w:val="7"/>
        </w:numPr>
        <w:spacing w:before="120" w:after="120" w:line="240" w:lineRule="auto"/>
        <w:ind w:left="641" w:hanging="357"/>
        <w:rPr>
          <w:rFonts w:ascii="Arial" w:hAnsi="Arial" w:cs="Arial"/>
          <w:sz w:val="20"/>
          <w:szCs w:val="20"/>
        </w:rPr>
      </w:pPr>
      <w:r w:rsidRPr="00E53EAF">
        <w:rPr>
          <w:rFonts w:ascii="Arial" w:hAnsi="Arial" w:cs="Arial"/>
          <w:sz w:val="20"/>
          <w:szCs w:val="20"/>
        </w:rPr>
        <w:t>preparing for the examination</w:t>
      </w:r>
    </w:p>
    <w:p w:rsidR="005C1927" w:rsidRDefault="005C1927" w:rsidP="005C1927">
      <w:pPr>
        <w:numPr>
          <w:ilvl w:val="0"/>
          <w:numId w:val="7"/>
        </w:numPr>
        <w:spacing w:before="120" w:after="120" w:line="240" w:lineRule="auto"/>
        <w:ind w:left="641" w:hanging="357"/>
        <w:rPr>
          <w:rFonts w:ascii="Arial" w:hAnsi="Arial" w:cs="Arial"/>
          <w:sz w:val="20"/>
          <w:szCs w:val="20"/>
        </w:rPr>
      </w:pPr>
      <w:r w:rsidRPr="00E53EAF">
        <w:rPr>
          <w:rFonts w:ascii="Arial" w:hAnsi="Arial" w:cs="Arial"/>
          <w:sz w:val="20"/>
          <w:szCs w:val="20"/>
        </w:rPr>
        <w:t>suggested re</w:t>
      </w:r>
      <w:r>
        <w:rPr>
          <w:rFonts w:ascii="Arial" w:hAnsi="Arial" w:cs="Arial"/>
          <w:sz w:val="20"/>
          <w:szCs w:val="20"/>
        </w:rPr>
        <w:t>ading lists for the examination</w:t>
      </w:r>
    </w:p>
    <w:p w:rsidR="005C1927" w:rsidRDefault="005C1927" w:rsidP="005C1927">
      <w:pPr>
        <w:numPr>
          <w:ilvl w:val="0"/>
          <w:numId w:val="7"/>
        </w:numPr>
        <w:spacing w:before="120" w:after="120" w:line="240" w:lineRule="auto"/>
        <w:ind w:left="641" w:hanging="357"/>
        <w:rPr>
          <w:rFonts w:ascii="Arial" w:hAnsi="Arial" w:cs="Arial"/>
          <w:sz w:val="20"/>
          <w:szCs w:val="20"/>
        </w:rPr>
      </w:pPr>
      <w:r>
        <w:rPr>
          <w:rFonts w:ascii="Arial" w:hAnsi="Arial" w:cs="Arial"/>
          <w:sz w:val="20"/>
          <w:szCs w:val="20"/>
        </w:rPr>
        <w:t>examination rules, and</w:t>
      </w:r>
    </w:p>
    <w:p w:rsidR="005C1927" w:rsidRPr="00EC4018" w:rsidRDefault="005C1927" w:rsidP="00EC4018">
      <w:pPr>
        <w:numPr>
          <w:ilvl w:val="0"/>
          <w:numId w:val="7"/>
        </w:numPr>
        <w:spacing w:before="120" w:after="120" w:line="240" w:lineRule="auto"/>
        <w:ind w:left="641" w:hanging="357"/>
        <w:rPr>
          <w:rFonts w:ascii="Arial" w:hAnsi="Arial" w:cs="Arial"/>
          <w:sz w:val="20"/>
          <w:szCs w:val="20"/>
        </w:rPr>
      </w:pPr>
      <w:r>
        <w:rPr>
          <w:rFonts w:ascii="Arial" w:hAnsi="Arial" w:cs="Arial"/>
          <w:sz w:val="20"/>
          <w:szCs w:val="20"/>
        </w:rPr>
        <w:t>how examination results may be used by the Board.</w:t>
      </w:r>
    </w:p>
    <w:p w:rsidR="00015889" w:rsidRPr="000A347D" w:rsidRDefault="00E130BC" w:rsidP="00015889">
      <w:pPr>
        <w:pStyle w:val="AHPRASubheadinglevel2"/>
        <w:spacing w:before="240" w:after="120"/>
        <w:rPr>
          <w:rFonts w:eastAsiaTheme="minorHAnsi" w:cs="Arial"/>
          <w:bCs/>
          <w:szCs w:val="20"/>
          <w:lang w:val="en-AU" w:eastAsia="en-AU"/>
        </w:rPr>
      </w:pPr>
      <w:bookmarkStart w:id="13" w:name="_Toc426364238"/>
      <w:bookmarkStart w:id="14" w:name="_Toc426364367"/>
      <w:r w:rsidRPr="00E130BC">
        <w:rPr>
          <w:rFonts w:eastAsiaTheme="minorHAnsi" w:cs="Arial"/>
          <w:bCs/>
          <w:szCs w:val="20"/>
          <w:lang w:val="en-AU" w:eastAsia="en-AU"/>
        </w:rPr>
        <w:t>When a practitioner will be required to sit an examination</w:t>
      </w:r>
      <w:bookmarkEnd w:id="13"/>
      <w:bookmarkEnd w:id="14"/>
    </w:p>
    <w:p w:rsidR="00015889" w:rsidRDefault="00015889" w:rsidP="00015889">
      <w:pPr>
        <w:pStyle w:val="AHPRAbodyContextparanumbered"/>
        <w:ind w:left="0" w:hanging="425"/>
        <w:rPr>
          <w:szCs w:val="20"/>
        </w:rPr>
      </w:pPr>
      <w:r>
        <w:rPr>
          <w:szCs w:val="20"/>
        </w:rPr>
        <w:t>The Board may require a practitioner to sit an examination where</w:t>
      </w:r>
      <w:r w:rsidR="000A347D">
        <w:rPr>
          <w:szCs w:val="20"/>
        </w:rPr>
        <w:t>:</w:t>
      </w:r>
      <w:r>
        <w:rPr>
          <w:szCs w:val="20"/>
        </w:rPr>
        <w:t xml:space="preserve"> </w:t>
      </w:r>
    </w:p>
    <w:p w:rsidR="00E130BC" w:rsidRDefault="00015889" w:rsidP="00E130BC">
      <w:pPr>
        <w:pStyle w:val="AHPRAbodyContextparanumbered"/>
        <w:numPr>
          <w:ilvl w:val="0"/>
          <w:numId w:val="23"/>
        </w:numPr>
        <w:rPr>
          <w:szCs w:val="20"/>
        </w:rPr>
      </w:pPr>
      <w:r>
        <w:rPr>
          <w:szCs w:val="20"/>
        </w:rPr>
        <w:t xml:space="preserve">its use is permitted by the </w:t>
      </w:r>
      <w:r>
        <w:rPr>
          <w:i/>
          <w:szCs w:val="20"/>
        </w:rPr>
        <w:t>H</w:t>
      </w:r>
      <w:r w:rsidRPr="00015889">
        <w:rPr>
          <w:i/>
          <w:szCs w:val="20"/>
        </w:rPr>
        <w:t>ealth Practitioner Regulation National Law</w:t>
      </w:r>
      <w:r w:rsidRPr="00015889">
        <w:rPr>
          <w:szCs w:val="20"/>
        </w:rPr>
        <w:t>,</w:t>
      </w:r>
      <w:r>
        <w:rPr>
          <w:szCs w:val="20"/>
        </w:rPr>
        <w:t xml:space="preserve"> as in force in each state and </w:t>
      </w:r>
      <w:r w:rsidR="000A347D">
        <w:rPr>
          <w:szCs w:val="20"/>
        </w:rPr>
        <w:t>t</w:t>
      </w:r>
      <w:r>
        <w:rPr>
          <w:szCs w:val="20"/>
        </w:rPr>
        <w:t>erritory</w:t>
      </w:r>
      <w:r w:rsidR="000A347D">
        <w:rPr>
          <w:szCs w:val="20"/>
        </w:rPr>
        <w:t xml:space="preserve"> (the National Law)</w:t>
      </w:r>
      <w:r>
        <w:rPr>
          <w:szCs w:val="20"/>
        </w:rPr>
        <w:t xml:space="preserve">, or </w:t>
      </w:r>
    </w:p>
    <w:p w:rsidR="00D64238" w:rsidRPr="00D64238" w:rsidRDefault="00015889" w:rsidP="00D64238">
      <w:pPr>
        <w:pStyle w:val="AHPRAbodyContextparanumbered"/>
        <w:numPr>
          <w:ilvl w:val="0"/>
          <w:numId w:val="23"/>
        </w:numPr>
        <w:rPr>
          <w:szCs w:val="20"/>
        </w:rPr>
      </w:pPr>
      <w:r>
        <w:rPr>
          <w:szCs w:val="20"/>
        </w:rPr>
        <w:t>it is part of an approved registration standard</w:t>
      </w:r>
      <w:r w:rsidR="000A347D">
        <w:rPr>
          <w:szCs w:val="20"/>
        </w:rPr>
        <w:t>.</w:t>
      </w:r>
    </w:p>
    <w:p w:rsidR="003F4B20" w:rsidRDefault="003F4B20" w:rsidP="009D19A9">
      <w:pPr>
        <w:pStyle w:val="AHPRAbodyContextparanumbered"/>
        <w:ind w:left="0" w:hanging="425"/>
        <w:rPr>
          <w:szCs w:val="20"/>
        </w:rPr>
      </w:pPr>
      <w:r>
        <w:rPr>
          <w:szCs w:val="20"/>
        </w:rPr>
        <w:lastRenderedPageBreak/>
        <w:t xml:space="preserve">The </w:t>
      </w:r>
      <w:hyperlink r:id="rId15" w:history="1">
        <w:r w:rsidR="00770EAF">
          <w:rPr>
            <w:rStyle w:val="Hyperlink"/>
            <w:szCs w:val="20"/>
          </w:rPr>
          <w:t>r</w:t>
        </w:r>
        <w:r w:rsidRPr="003F4B20">
          <w:rPr>
            <w:rStyle w:val="Hyperlink"/>
            <w:szCs w:val="20"/>
          </w:rPr>
          <w:t>egulatory principles for the National Scheme</w:t>
        </w:r>
      </w:hyperlink>
      <w:r>
        <w:rPr>
          <w:szCs w:val="20"/>
        </w:rPr>
        <w:t xml:space="preserve"> guide the Board in its decision</w:t>
      </w:r>
      <w:r w:rsidR="00770EAF">
        <w:rPr>
          <w:szCs w:val="20"/>
        </w:rPr>
        <w:t>-</w:t>
      </w:r>
      <w:r>
        <w:rPr>
          <w:szCs w:val="20"/>
        </w:rPr>
        <w:t>making, including dec</w:t>
      </w:r>
      <w:r w:rsidR="00D64238">
        <w:rPr>
          <w:szCs w:val="20"/>
        </w:rPr>
        <w:t>isions where a practitioner, or</w:t>
      </w:r>
      <w:r>
        <w:rPr>
          <w:szCs w:val="20"/>
        </w:rPr>
        <w:t xml:space="preserve"> class of practitioners</w:t>
      </w:r>
      <w:r w:rsidR="00D64238">
        <w:rPr>
          <w:szCs w:val="20"/>
        </w:rPr>
        <w:t>,</w:t>
      </w:r>
      <w:r>
        <w:rPr>
          <w:szCs w:val="20"/>
        </w:rPr>
        <w:t xml:space="preserve"> may be required to undertake an examination.</w:t>
      </w:r>
      <w:r w:rsidRPr="003F4B20">
        <w:rPr>
          <w:szCs w:val="20"/>
        </w:rPr>
        <w:t xml:space="preserve"> </w:t>
      </w:r>
    </w:p>
    <w:p w:rsidR="00D64238" w:rsidRDefault="00D64238" w:rsidP="00D64238">
      <w:pPr>
        <w:pStyle w:val="AHPRAbodyContextparanumbered"/>
        <w:ind w:left="0" w:hanging="425"/>
        <w:rPr>
          <w:szCs w:val="20"/>
        </w:rPr>
      </w:pPr>
      <w:r>
        <w:rPr>
          <w:szCs w:val="20"/>
        </w:rPr>
        <w:t xml:space="preserve">As indicated above the </w:t>
      </w:r>
      <w:r w:rsidRPr="00D64238">
        <w:rPr>
          <w:i/>
          <w:szCs w:val="20"/>
        </w:rPr>
        <w:t>Supervised practice registration standard</w:t>
      </w:r>
      <w:r>
        <w:rPr>
          <w:szCs w:val="20"/>
        </w:rPr>
        <w:t xml:space="preserve"> allows the Board to use an examination in the context of supervised practice.</w:t>
      </w:r>
    </w:p>
    <w:p w:rsidR="005C1927" w:rsidRDefault="002D6D30" w:rsidP="005C1927">
      <w:pPr>
        <w:pStyle w:val="AHPRAbodyContextparanumbered"/>
        <w:ind w:left="0" w:hanging="425"/>
        <w:rPr>
          <w:szCs w:val="20"/>
        </w:rPr>
      </w:pPr>
      <w:r>
        <w:rPr>
          <w:szCs w:val="20"/>
        </w:rPr>
        <w:t>For those holding provisional registration and undertaking</w:t>
      </w:r>
      <w:r w:rsidR="00D64238">
        <w:rPr>
          <w:szCs w:val="20"/>
        </w:rPr>
        <w:t xml:space="preserve"> supervised practice the Board will </w:t>
      </w:r>
      <w:r>
        <w:rPr>
          <w:szCs w:val="20"/>
        </w:rPr>
        <w:t>use an examination</w:t>
      </w:r>
      <w:r w:rsidR="009C0CF3">
        <w:rPr>
          <w:szCs w:val="20"/>
        </w:rPr>
        <w:t xml:space="preserve"> where </w:t>
      </w:r>
      <w:r w:rsidR="00D64238" w:rsidRPr="009C0CF3">
        <w:rPr>
          <w:szCs w:val="20"/>
        </w:rPr>
        <w:t>there are concerns about a practitioner’s capacity to practise safely while under supervision.</w:t>
      </w:r>
      <w:r>
        <w:rPr>
          <w:szCs w:val="20"/>
        </w:rPr>
        <w:t xml:space="preserve"> For example a supervisor has reported concerns about a supervised practitioner or assessment reports show that a supervised practitioner is failing to progress.</w:t>
      </w:r>
    </w:p>
    <w:p w:rsidR="005C1927" w:rsidRDefault="005C1927" w:rsidP="005C1927">
      <w:pPr>
        <w:pStyle w:val="AHPRAbodyContextparanumbered"/>
        <w:ind w:left="0" w:hanging="425"/>
        <w:rPr>
          <w:szCs w:val="20"/>
        </w:rPr>
      </w:pPr>
      <w:r w:rsidRPr="009C0CF3">
        <w:rPr>
          <w:b/>
          <w:szCs w:val="20"/>
          <w:u w:val="single"/>
        </w:rPr>
        <w:t>Importantly</w:t>
      </w:r>
      <w:r w:rsidRPr="009C0CF3">
        <w:rPr>
          <w:b/>
          <w:szCs w:val="20"/>
        </w:rPr>
        <w:t>,</w:t>
      </w:r>
      <w:r w:rsidRPr="0092094B">
        <w:rPr>
          <w:szCs w:val="20"/>
        </w:rPr>
        <w:t xml:space="preserve"> </w:t>
      </w:r>
      <w:r>
        <w:rPr>
          <w:szCs w:val="20"/>
        </w:rPr>
        <w:t>the Board does not intend to use the examination as a general assessment mechanism for individuals that hold a qualification for general registration</w:t>
      </w:r>
      <w:r>
        <w:rPr>
          <w:rStyle w:val="FootnoteReference"/>
          <w:szCs w:val="20"/>
        </w:rPr>
        <w:footnoteReference w:id="2"/>
      </w:r>
      <w:r>
        <w:rPr>
          <w:szCs w:val="20"/>
        </w:rPr>
        <w:t xml:space="preserve"> (which includes practitioners who are granted provisional registration). </w:t>
      </w:r>
    </w:p>
    <w:p w:rsidR="009C0CF3" w:rsidRDefault="005C1927" w:rsidP="005C1927">
      <w:pPr>
        <w:pStyle w:val="AHPRAbodyContextparanumbered"/>
        <w:numPr>
          <w:ilvl w:val="0"/>
          <w:numId w:val="0"/>
        </w:numPr>
        <w:rPr>
          <w:szCs w:val="20"/>
        </w:rPr>
      </w:pPr>
      <w:r>
        <w:rPr>
          <w:szCs w:val="20"/>
        </w:rPr>
        <w:t xml:space="preserve">An examination will be used where specific circumstances require a more detailed and objective assessment of a practitioner’s capability to practise in the profession. </w:t>
      </w:r>
    </w:p>
    <w:p w:rsidR="005C1927" w:rsidRDefault="005C1927" w:rsidP="005C1927">
      <w:pPr>
        <w:pStyle w:val="AHPRAbodyContextparanumbered"/>
        <w:ind w:left="0" w:hanging="425"/>
        <w:rPr>
          <w:szCs w:val="20"/>
        </w:rPr>
      </w:pPr>
      <w:r>
        <w:rPr>
          <w:szCs w:val="20"/>
        </w:rPr>
        <w:t xml:space="preserve">The </w:t>
      </w:r>
      <w:r w:rsidRPr="00D64238">
        <w:rPr>
          <w:i/>
          <w:szCs w:val="20"/>
        </w:rPr>
        <w:t>Supervised practice registration standard</w:t>
      </w:r>
      <w:r>
        <w:rPr>
          <w:szCs w:val="20"/>
        </w:rPr>
        <w:t xml:space="preserve"> applies to a number of different types of registration including, limited registration and provisional registration. It also applies to specific circumstances where supervised practice is a used to assist practitioners to return to practice (in the context of recency of practice) or as an adjunct for some overseas qualified practitioners commencing practice in Australia for the first time.</w:t>
      </w:r>
    </w:p>
    <w:p w:rsidR="009C0CF3" w:rsidRDefault="009C0CF3" w:rsidP="009C0CF3">
      <w:pPr>
        <w:pStyle w:val="AHPRAbodyContextparanumbered"/>
        <w:ind w:left="0" w:hanging="425"/>
        <w:rPr>
          <w:szCs w:val="20"/>
        </w:rPr>
      </w:pPr>
      <w:r>
        <w:rPr>
          <w:szCs w:val="20"/>
        </w:rPr>
        <w:t xml:space="preserve">Given the breadth of application for the </w:t>
      </w:r>
      <w:r w:rsidRPr="009C0CF3">
        <w:rPr>
          <w:i/>
          <w:szCs w:val="20"/>
        </w:rPr>
        <w:t>Supervised practice registration standard</w:t>
      </w:r>
      <w:r>
        <w:rPr>
          <w:szCs w:val="20"/>
        </w:rPr>
        <w:t xml:space="preserve"> the Board may also consider using an examination, in the context of supervised practice where</w:t>
      </w:r>
    </w:p>
    <w:p w:rsidR="00D64238" w:rsidRPr="009C0CF3" w:rsidRDefault="00D64238" w:rsidP="009C0CF3">
      <w:pPr>
        <w:numPr>
          <w:ilvl w:val="0"/>
          <w:numId w:val="7"/>
        </w:numPr>
        <w:spacing w:before="120" w:after="120" w:line="240" w:lineRule="auto"/>
        <w:ind w:left="641" w:hanging="357"/>
        <w:rPr>
          <w:rFonts w:ascii="Arial" w:hAnsi="Arial" w:cs="Arial"/>
          <w:sz w:val="20"/>
          <w:szCs w:val="20"/>
        </w:rPr>
      </w:pPr>
      <w:r w:rsidRPr="009C0CF3">
        <w:rPr>
          <w:rFonts w:ascii="Arial" w:hAnsi="Arial" w:cs="Arial"/>
          <w:sz w:val="20"/>
          <w:szCs w:val="20"/>
        </w:rPr>
        <w:t xml:space="preserve">a practitioner is </w:t>
      </w:r>
      <w:r w:rsidRPr="002D6D30">
        <w:rPr>
          <w:rFonts w:ascii="Arial" w:hAnsi="Arial" w:cs="Arial"/>
          <w:sz w:val="20"/>
          <w:szCs w:val="20"/>
          <w:u w:val="single"/>
        </w:rPr>
        <w:t>not</w:t>
      </w:r>
      <w:r w:rsidRPr="009C0CF3">
        <w:rPr>
          <w:rFonts w:ascii="Arial" w:hAnsi="Arial" w:cs="Arial"/>
          <w:sz w:val="20"/>
          <w:szCs w:val="20"/>
        </w:rPr>
        <w:t xml:space="preserve"> qualified for general registration under section 53 of the National Law (e.g. limited registration), or</w:t>
      </w:r>
    </w:p>
    <w:p w:rsidR="009C0CF3" w:rsidRPr="009C0CF3" w:rsidRDefault="009C0CF3" w:rsidP="009C0CF3">
      <w:pPr>
        <w:numPr>
          <w:ilvl w:val="0"/>
          <w:numId w:val="7"/>
        </w:numPr>
        <w:spacing w:before="120" w:after="120" w:line="240" w:lineRule="auto"/>
        <w:ind w:left="641" w:hanging="357"/>
        <w:rPr>
          <w:rFonts w:ascii="Arial" w:hAnsi="Arial" w:cs="Arial"/>
          <w:sz w:val="20"/>
          <w:szCs w:val="20"/>
        </w:rPr>
      </w:pPr>
      <w:r w:rsidRPr="009C0CF3">
        <w:rPr>
          <w:rFonts w:ascii="Arial" w:hAnsi="Arial" w:cs="Arial"/>
          <w:sz w:val="20"/>
          <w:szCs w:val="20"/>
        </w:rPr>
        <w:t xml:space="preserve">for practitioners </w:t>
      </w:r>
      <w:r>
        <w:rPr>
          <w:rFonts w:ascii="Arial" w:hAnsi="Arial" w:cs="Arial"/>
          <w:sz w:val="20"/>
          <w:szCs w:val="20"/>
        </w:rPr>
        <w:t xml:space="preserve">who are required to undertake a period of supervised practice because they are </w:t>
      </w:r>
      <w:r w:rsidRPr="009C0CF3">
        <w:rPr>
          <w:rFonts w:ascii="Arial" w:hAnsi="Arial" w:cs="Arial"/>
          <w:sz w:val="20"/>
          <w:szCs w:val="20"/>
        </w:rPr>
        <w:t>returning to practice</w:t>
      </w:r>
      <w:r>
        <w:rPr>
          <w:rFonts w:ascii="Arial" w:hAnsi="Arial" w:cs="Arial"/>
          <w:sz w:val="20"/>
          <w:szCs w:val="20"/>
        </w:rPr>
        <w:t xml:space="preserve"> after a prolonged absence .</w:t>
      </w:r>
    </w:p>
    <w:p w:rsidR="000217C1" w:rsidRDefault="002D6D30" w:rsidP="000217C1">
      <w:pPr>
        <w:pStyle w:val="AHPRAbodyContextparanumbered"/>
        <w:ind w:left="0" w:hanging="425"/>
        <w:rPr>
          <w:szCs w:val="20"/>
        </w:rPr>
      </w:pPr>
      <w:r>
        <w:rPr>
          <w:szCs w:val="20"/>
        </w:rPr>
        <w:t>In May 2014, d</w:t>
      </w:r>
      <w:r w:rsidR="005C1927">
        <w:rPr>
          <w:szCs w:val="20"/>
        </w:rPr>
        <w:t>uring</w:t>
      </w:r>
      <w:r w:rsidR="009C0CF3">
        <w:rPr>
          <w:szCs w:val="20"/>
        </w:rPr>
        <w:t xml:space="preserve"> </w:t>
      </w:r>
      <w:hyperlink r:id="rId16" w:history="1">
        <w:r w:rsidR="009C0CF3" w:rsidRPr="009C0CF3">
          <w:rPr>
            <w:rStyle w:val="Hyperlink"/>
            <w:szCs w:val="20"/>
          </w:rPr>
          <w:t>public consultation</w:t>
        </w:r>
      </w:hyperlink>
      <w:r w:rsidR="009C0CF3">
        <w:rPr>
          <w:szCs w:val="20"/>
        </w:rPr>
        <w:t xml:space="preserve"> on the</w:t>
      </w:r>
      <w:r w:rsidR="000217C1">
        <w:rPr>
          <w:szCs w:val="20"/>
        </w:rPr>
        <w:t xml:space="preserve"> Board’s </w:t>
      </w:r>
      <w:r w:rsidR="009C0CF3">
        <w:rPr>
          <w:szCs w:val="20"/>
        </w:rPr>
        <w:t xml:space="preserve">review </w:t>
      </w:r>
      <w:r w:rsidR="000217C1">
        <w:rPr>
          <w:szCs w:val="20"/>
        </w:rPr>
        <w:t xml:space="preserve">of the </w:t>
      </w:r>
      <w:r w:rsidR="000217C1" w:rsidRPr="00170614">
        <w:rPr>
          <w:i/>
          <w:szCs w:val="20"/>
        </w:rPr>
        <w:t xml:space="preserve">Recency of practice registration </w:t>
      </w:r>
      <w:r w:rsidR="00E130BC" w:rsidRPr="00E130BC">
        <w:rPr>
          <w:i/>
          <w:szCs w:val="20"/>
        </w:rPr>
        <w:t>standard</w:t>
      </w:r>
      <w:r>
        <w:rPr>
          <w:szCs w:val="20"/>
        </w:rPr>
        <w:t xml:space="preserve">, </w:t>
      </w:r>
      <w:r w:rsidR="000217C1">
        <w:rPr>
          <w:szCs w:val="20"/>
        </w:rPr>
        <w:t>the Board proposed to include the use of examination for those practitioners returning to practice after an extended break from practice. The traditional approach to remedying long</w:t>
      </w:r>
      <w:r w:rsidR="007E6465">
        <w:rPr>
          <w:szCs w:val="20"/>
        </w:rPr>
        <w:t>-</w:t>
      </w:r>
      <w:r w:rsidR="000217C1">
        <w:rPr>
          <w:szCs w:val="20"/>
        </w:rPr>
        <w:t>term absences from professional practice has been to require</w:t>
      </w:r>
      <w:r w:rsidR="000217C1" w:rsidRPr="00452291">
        <w:rPr>
          <w:szCs w:val="20"/>
        </w:rPr>
        <w:t xml:space="preserve"> </w:t>
      </w:r>
      <w:r w:rsidR="000217C1">
        <w:rPr>
          <w:szCs w:val="20"/>
        </w:rPr>
        <w:t>the practitioner to undertake further study, or in some cases</w:t>
      </w:r>
      <w:r w:rsidR="005C1927">
        <w:rPr>
          <w:szCs w:val="20"/>
        </w:rPr>
        <w:t xml:space="preserve">, </w:t>
      </w:r>
      <w:r w:rsidR="007E6465">
        <w:rPr>
          <w:szCs w:val="20"/>
        </w:rPr>
        <w:t>‘</w:t>
      </w:r>
      <w:r w:rsidR="000217C1">
        <w:rPr>
          <w:szCs w:val="20"/>
        </w:rPr>
        <w:t>re-qualification</w:t>
      </w:r>
      <w:r w:rsidR="007E6465">
        <w:rPr>
          <w:szCs w:val="20"/>
        </w:rPr>
        <w:t>’</w:t>
      </w:r>
      <w:r w:rsidR="000217C1">
        <w:rPr>
          <w:szCs w:val="20"/>
        </w:rPr>
        <w:t>. The examination is an alternative method of competence assurance that allow</w:t>
      </w:r>
      <w:r w:rsidR="00EB019D">
        <w:rPr>
          <w:szCs w:val="20"/>
        </w:rPr>
        <w:t>s</w:t>
      </w:r>
      <w:r w:rsidR="000217C1">
        <w:rPr>
          <w:szCs w:val="20"/>
        </w:rPr>
        <w:t xml:space="preserve"> practitioners to demonstrate the </w:t>
      </w:r>
      <w:r w:rsidR="005C1927">
        <w:rPr>
          <w:i/>
          <w:szCs w:val="20"/>
        </w:rPr>
        <w:t>P</w:t>
      </w:r>
      <w:r w:rsidR="000217C1" w:rsidRPr="003C0DB0">
        <w:rPr>
          <w:i/>
          <w:szCs w:val="20"/>
        </w:rPr>
        <w:t>rofessional capabilities</w:t>
      </w:r>
      <w:r w:rsidR="000217C1">
        <w:rPr>
          <w:szCs w:val="20"/>
        </w:rPr>
        <w:t xml:space="preserve"> necessary for practice while reducing the time and cost barriers associated with the traditional approach.</w:t>
      </w:r>
    </w:p>
    <w:p w:rsidR="002034F4" w:rsidRPr="007E6465" w:rsidRDefault="00E130BC" w:rsidP="00AA4E3B">
      <w:pPr>
        <w:pStyle w:val="AHPRASubheadinglevel2"/>
        <w:spacing w:before="240" w:after="120"/>
        <w:rPr>
          <w:rFonts w:eastAsiaTheme="minorHAnsi" w:cs="Arial"/>
          <w:bCs/>
          <w:szCs w:val="20"/>
          <w:lang w:val="en-AU" w:eastAsia="en-AU"/>
        </w:rPr>
      </w:pPr>
      <w:bookmarkStart w:id="15" w:name="_Toc426364239"/>
      <w:bookmarkStart w:id="16" w:name="_Toc426364368"/>
      <w:r w:rsidRPr="00E130BC">
        <w:rPr>
          <w:rFonts w:eastAsiaTheme="minorHAnsi" w:cs="Arial"/>
          <w:bCs/>
          <w:szCs w:val="20"/>
          <w:lang w:val="en-AU" w:eastAsia="en-AU"/>
        </w:rPr>
        <w:t>Delivery of examination</w:t>
      </w:r>
      <w:bookmarkEnd w:id="15"/>
      <w:bookmarkEnd w:id="16"/>
    </w:p>
    <w:p w:rsidR="001F3707" w:rsidRDefault="001F3707" w:rsidP="00170614">
      <w:pPr>
        <w:pStyle w:val="AHPRAbodyContextparanumbered"/>
        <w:ind w:left="0" w:hanging="425"/>
        <w:rPr>
          <w:szCs w:val="20"/>
        </w:rPr>
      </w:pPr>
      <w:r>
        <w:rPr>
          <w:szCs w:val="20"/>
        </w:rPr>
        <w:t>The national examination will be delivered through an ‘online’ environment</w:t>
      </w:r>
      <w:r w:rsidR="00167C63">
        <w:rPr>
          <w:szCs w:val="20"/>
        </w:rPr>
        <w:t xml:space="preserve"> in a </w:t>
      </w:r>
      <w:r w:rsidR="00A3518E">
        <w:rPr>
          <w:szCs w:val="20"/>
        </w:rPr>
        <w:t>supervised</w:t>
      </w:r>
      <w:r w:rsidR="00167C63">
        <w:rPr>
          <w:szCs w:val="20"/>
        </w:rPr>
        <w:t xml:space="preserve"> exam centre</w:t>
      </w:r>
      <w:r>
        <w:rPr>
          <w:szCs w:val="20"/>
        </w:rPr>
        <w:t xml:space="preserve">. </w:t>
      </w:r>
      <w:r w:rsidR="00167C63">
        <w:rPr>
          <w:szCs w:val="20"/>
        </w:rPr>
        <w:t xml:space="preserve">The online </w:t>
      </w:r>
      <w:r w:rsidR="007E6465">
        <w:rPr>
          <w:szCs w:val="20"/>
        </w:rPr>
        <w:t xml:space="preserve">delivery </w:t>
      </w:r>
      <w:r w:rsidR="00167C63">
        <w:rPr>
          <w:szCs w:val="20"/>
        </w:rPr>
        <w:t>offers a number of benefits over the more traditional pen and paper model of exams. However, like any online transaction security arrangements</w:t>
      </w:r>
      <w:r w:rsidR="007E6465">
        <w:rPr>
          <w:szCs w:val="20"/>
        </w:rPr>
        <w:t>,</w:t>
      </w:r>
      <w:r w:rsidR="00167C63">
        <w:rPr>
          <w:szCs w:val="20"/>
        </w:rPr>
        <w:t xml:space="preserve"> including practitioner identity and information exchange between the host and the exam centre</w:t>
      </w:r>
      <w:r w:rsidR="007E6465">
        <w:rPr>
          <w:szCs w:val="20"/>
        </w:rPr>
        <w:t>,</w:t>
      </w:r>
      <w:r w:rsidR="00167C63">
        <w:rPr>
          <w:szCs w:val="20"/>
        </w:rPr>
        <w:t xml:space="preserve"> are critical to ensuring the integrity of the process. </w:t>
      </w:r>
    </w:p>
    <w:p w:rsidR="00167C63" w:rsidRDefault="00F33598" w:rsidP="00170614">
      <w:pPr>
        <w:pStyle w:val="AHPRAbodyContextparanumbered"/>
        <w:ind w:left="0" w:hanging="425"/>
        <w:rPr>
          <w:szCs w:val="20"/>
        </w:rPr>
      </w:pPr>
      <w:r>
        <w:rPr>
          <w:szCs w:val="20"/>
        </w:rPr>
        <w:t>The exam</w:t>
      </w:r>
      <w:r w:rsidR="00167C63">
        <w:rPr>
          <w:szCs w:val="20"/>
        </w:rPr>
        <w:t xml:space="preserve"> will be held in </w:t>
      </w:r>
      <w:r>
        <w:rPr>
          <w:szCs w:val="20"/>
        </w:rPr>
        <w:t xml:space="preserve">approved exam </w:t>
      </w:r>
      <w:r w:rsidR="00167C63">
        <w:rPr>
          <w:szCs w:val="20"/>
        </w:rPr>
        <w:t xml:space="preserve">centres </w:t>
      </w:r>
      <w:r w:rsidR="00CD45DB">
        <w:rPr>
          <w:szCs w:val="20"/>
        </w:rPr>
        <w:t>located predominantly in capital cities around Australia.</w:t>
      </w:r>
      <w:r>
        <w:rPr>
          <w:szCs w:val="20"/>
        </w:rPr>
        <w:t xml:space="preserve"> </w:t>
      </w:r>
      <w:r w:rsidR="00CD45DB">
        <w:rPr>
          <w:szCs w:val="20"/>
        </w:rPr>
        <w:t xml:space="preserve">The exam will be </w:t>
      </w:r>
      <w:r w:rsidR="00A3518E">
        <w:rPr>
          <w:szCs w:val="20"/>
        </w:rPr>
        <w:t>overseen by an examination supervisor o</w:t>
      </w:r>
      <w:r w:rsidR="007E6465">
        <w:rPr>
          <w:szCs w:val="20"/>
        </w:rPr>
        <w:t>r</w:t>
      </w:r>
      <w:r w:rsidR="00A3518E">
        <w:rPr>
          <w:szCs w:val="20"/>
        </w:rPr>
        <w:t xml:space="preserve"> ‘invigilator’ </w:t>
      </w:r>
      <w:r w:rsidR="00CD45DB">
        <w:rPr>
          <w:szCs w:val="20"/>
        </w:rPr>
        <w:t>whose</w:t>
      </w:r>
      <w:r w:rsidR="00167C63" w:rsidRPr="00F33598">
        <w:rPr>
          <w:szCs w:val="20"/>
        </w:rPr>
        <w:t xml:space="preserve"> role is to verify the identity of the </w:t>
      </w:r>
      <w:r>
        <w:rPr>
          <w:szCs w:val="20"/>
        </w:rPr>
        <w:t>practitioner</w:t>
      </w:r>
      <w:r w:rsidR="00167C63" w:rsidRPr="00F33598">
        <w:rPr>
          <w:szCs w:val="20"/>
        </w:rPr>
        <w:t xml:space="preserve"> taking the exam and to ensure that the instructions specified by the </w:t>
      </w:r>
      <w:r>
        <w:rPr>
          <w:szCs w:val="20"/>
        </w:rPr>
        <w:t>Board</w:t>
      </w:r>
      <w:r w:rsidR="00167C63" w:rsidRPr="00F33598">
        <w:rPr>
          <w:szCs w:val="20"/>
        </w:rPr>
        <w:t xml:space="preserve"> are carried out.</w:t>
      </w:r>
    </w:p>
    <w:p w:rsidR="005C1927" w:rsidRDefault="005C1927" w:rsidP="005C1927">
      <w:pPr>
        <w:pStyle w:val="AHPRAbodyContextparanumbered"/>
        <w:numPr>
          <w:ilvl w:val="0"/>
          <w:numId w:val="0"/>
        </w:numPr>
        <w:rPr>
          <w:szCs w:val="20"/>
        </w:rPr>
      </w:pPr>
    </w:p>
    <w:p w:rsidR="00EC4018" w:rsidRDefault="00EC4018" w:rsidP="005C1927">
      <w:pPr>
        <w:pStyle w:val="AHPRAbodyContextparanumbered"/>
        <w:numPr>
          <w:ilvl w:val="0"/>
          <w:numId w:val="0"/>
        </w:numPr>
        <w:rPr>
          <w:szCs w:val="20"/>
        </w:rPr>
      </w:pPr>
    </w:p>
    <w:p w:rsidR="004172D0" w:rsidRPr="007E6465" w:rsidRDefault="00E130BC" w:rsidP="004172D0">
      <w:pPr>
        <w:pStyle w:val="AHPRASubheadinglevel2"/>
        <w:spacing w:before="120" w:after="120"/>
        <w:rPr>
          <w:rFonts w:eastAsiaTheme="minorHAnsi" w:cs="Arial"/>
          <w:bCs/>
          <w:szCs w:val="20"/>
          <w:lang w:val="en-AU" w:eastAsia="en-AU"/>
        </w:rPr>
      </w:pPr>
      <w:bookmarkStart w:id="17" w:name="_Toc426364240"/>
      <w:bookmarkStart w:id="18" w:name="_Toc426364369"/>
      <w:r w:rsidRPr="00E130BC">
        <w:rPr>
          <w:rFonts w:eastAsiaTheme="minorHAnsi" w:cs="Arial"/>
          <w:bCs/>
          <w:szCs w:val="20"/>
          <w:lang w:val="en-AU" w:eastAsia="en-AU"/>
        </w:rPr>
        <w:lastRenderedPageBreak/>
        <w:t>The examination</w:t>
      </w:r>
      <w:bookmarkEnd w:id="17"/>
      <w:bookmarkEnd w:id="18"/>
    </w:p>
    <w:p w:rsidR="004172D0" w:rsidRDefault="004172D0" w:rsidP="00170614">
      <w:pPr>
        <w:pStyle w:val="AHPRAbodyContextparanumbered"/>
        <w:ind w:left="0" w:hanging="425"/>
        <w:rPr>
          <w:szCs w:val="20"/>
        </w:rPr>
      </w:pPr>
      <w:r>
        <w:rPr>
          <w:szCs w:val="20"/>
        </w:rPr>
        <w:t>As indicated above</w:t>
      </w:r>
      <w:r w:rsidR="007E6465">
        <w:rPr>
          <w:szCs w:val="20"/>
        </w:rPr>
        <w:t>,</w:t>
      </w:r>
      <w:r>
        <w:rPr>
          <w:szCs w:val="20"/>
        </w:rPr>
        <w:t xml:space="preserve"> the examination is based on the </w:t>
      </w:r>
      <w:r w:rsidRPr="004172D0">
        <w:rPr>
          <w:i/>
          <w:szCs w:val="20"/>
        </w:rPr>
        <w:t>Professional capabilities for medical radiation practice</w:t>
      </w:r>
      <w:r w:rsidR="00AA4E3B">
        <w:rPr>
          <w:i/>
          <w:szCs w:val="20"/>
        </w:rPr>
        <w:t>.</w:t>
      </w:r>
      <w:r>
        <w:rPr>
          <w:i/>
          <w:szCs w:val="20"/>
        </w:rPr>
        <w:t xml:space="preserve"> </w:t>
      </w:r>
      <w:r w:rsidR="00AA4E3B" w:rsidRPr="00AA4E3B">
        <w:rPr>
          <w:szCs w:val="20"/>
        </w:rPr>
        <w:t>Practitioners will be able to apply to sit the examination that is relevant to their division of registra</w:t>
      </w:r>
      <w:r w:rsidR="00AA4E3B">
        <w:rPr>
          <w:szCs w:val="20"/>
        </w:rPr>
        <w:t>tion – diagnostic radiography, radiation therapy, or nuclear medicine technology.</w:t>
      </w:r>
      <w:r w:rsidR="00AA4E3B">
        <w:rPr>
          <w:i/>
          <w:szCs w:val="20"/>
        </w:rPr>
        <w:t xml:space="preserve"> </w:t>
      </w:r>
      <w:r w:rsidRPr="004172D0">
        <w:rPr>
          <w:szCs w:val="20"/>
        </w:rPr>
        <w:t>The exam will consist of between 150 and 200 questions</w:t>
      </w:r>
      <w:r w:rsidR="006D0BB1">
        <w:rPr>
          <w:szCs w:val="20"/>
        </w:rPr>
        <w:t xml:space="preserve"> and will</w:t>
      </w:r>
      <w:r w:rsidR="007E6465">
        <w:rPr>
          <w:szCs w:val="20"/>
        </w:rPr>
        <w:t xml:space="preserve"> be</w:t>
      </w:r>
      <w:r w:rsidR="006D0BB1">
        <w:rPr>
          <w:szCs w:val="20"/>
        </w:rPr>
        <w:t xml:space="preserve"> conducted over 3.5 hours (210 minutes).</w:t>
      </w:r>
      <w:r>
        <w:rPr>
          <w:szCs w:val="20"/>
        </w:rPr>
        <w:t xml:space="preserve"> </w:t>
      </w:r>
    </w:p>
    <w:p w:rsidR="006D0BB1" w:rsidRPr="006D0BB1" w:rsidRDefault="006D0BB1" w:rsidP="00170614">
      <w:pPr>
        <w:pStyle w:val="AHPRAbodyContextparanumbered"/>
        <w:ind w:left="0" w:hanging="425"/>
      </w:pPr>
      <w:r>
        <w:t>A</w:t>
      </w:r>
      <w:r w:rsidR="007E6465">
        <w:t xml:space="preserve">bout </w:t>
      </w:r>
      <w:r>
        <w:t xml:space="preserve">50 </w:t>
      </w:r>
      <w:r w:rsidRPr="006D0BB1">
        <w:t>per</w:t>
      </w:r>
      <w:r w:rsidR="007E6465">
        <w:t xml:space="preserve"> </w:t>
      </w:r>
      <w:r w:rsidRPr="006D0BB1">
        <w:t>cent of questions will come from the practice area relevant to the division of registration, that is:</w:t>
      </w:r>
    </w:p>
    <w:p w:rsidR="00E130BC" w:rsidRDefault="006D0BB1" w:rsidP="00E130BC">
      <w:pPr>
        <w:pStyle w:val="ListParagraph"/>
        <w:numPr>
          <w:ilvl w:val="0"/>
          <w:numId w:val="24"/>
        </w:numPr>
        <w:spacing w:after="0" w:line="276" w:lineRule="auto"/>
        <w:rPr>
          <w:rFonts w:ascii="Arial" w:hAnsi="Arial" w:cs="Arial"/>
          <w:sz w:val="20"/>
        </w:rPr>
      </w:pPr>
      <w:r w:rsidRPr="00E53EAF">
        <w:rPr>
          <w:rFonts w:ascii="Arial" w:hAnsi="Arial" w:cs="Arial"/>
          <w:sz w:val="20"/>
        </w:rPr>
        <w:t xml:space="preserve">Domain 5a </w:t>
      </w:r>
      <w:r w:rsidR="00E13080">
        <w:rPr>
          <w:rFonts w:ascii="Arial" w:hAnsi="Arial" w:cs="Arial"/>
          <w:sz w:val="20"/>
        </w:rPr>
        <w:t>D</w:t>
      </w:r>
      <w:r w:rsidRPr="00E53EAF">
        <w:rPr>
          <w:rFonts w:ascii="Arial" w:hAnsi="Arial" w:cs="Arial"/>
          <w:sz w:val="20"/>
        </w:rPr>
        <w:t xml:space="preserve">iagnostic </w:t>
      </w:r>
      <w:r>
        <w:rPr>
          <w:rFonts w:ascii="Arial" w:hAnsi="Arial" w:cs="Arial"/>
          <w:sz w:val="20"/>
        </w:rPr>
        <w:t>r</w:t>
      </w:r>
      <w:r w:rsidRPr="00E53EAF">
        <w:rPr>
          <w:rFonts w:ascii="Arial" w:hAnsi="Arial" w:cs="Arial"/>
          <w:sz w:val="20"/>
        </w:rPr>
        <w:t>adiography questions</w:t>
      </w:r>
      <w:r>
        <w:rPr>
          <w:rFonts w:ascii="Arial" w:hAnsi="Arial" w:cs="Arial"/>
          <w:sz w:val="20"/>
        </w:rPr>
        <w:t>,</w:t>
      </w:r>
      <w:r w:rsidRPr="00E53EAF">
        <w:rPr>
          <w:rFonts w:ascii="Arial" w:hAnsi="Arial" w:cs="Arial"/>
          <w:sz w:val="20"/>
        </w:rPr>
        <w:t xml:space="preserve"> or</w:t>
      </w:r>
    </w:p>
    <w:p w:rsidR="00E130BC" w:rsidRDefault="006D0BB1" w:rsidP="00E130BC">
      <w:pPr>
        <w:pStyle w:val="ListParagraph"/>
        <w:numPr>
          <w:ilvl w:val="0"/>
          <w:numId w:val="24"/>
        </w:numPr>
        <w:spacing w:after="0" w:line="276" w:lineRule="auto"/>
        <w:rPr>
          <w:rFonts w:ascii="Arial" w:hAnsi="Arial" w:cs="Arial"/>
          <w:sz w:val="20"/>
        </w:rPr>
      </w:pPr>
      <w:r w:rsidRPr="00E53EAF">
        <w:rPr>
          <w:rFonts w:ascii="Arial" w:hAnsi="Arial" w:cs="Arial"/>
          <w:sz w:val="20"/>
        </w:rPr>
        <w:t xml:space="preserve">Domain 5b </w:t>
      </w:r>
      <w:r w:rsidR="00E13080">
        <w:rPr>
          <w:rFonts w:ascii="Arial" w:hAnsi="Arial" w:cs="Arial"/>
          <w:sz w:val="20"/>
        </w:rPr>
        <w:t>N</w:t>
      </w:r>
      <w:r w:rsidRPr="00E53EAF">
        <w:rPr>
          <w:rFonts w:ascii="Arial" w:hAnsi="Arial" w:cs="Arial"/>
          <w:sz w:val="20"/>
        </w:rPr>
        <w:t xml:space="preserve">uclear </w:t>
      </w:r>
      <w:r>
        <w:rPr>
          <w:rFonts w:ascii="Arial" w:hAnsi="Arial" w:cs="Arial"/>
          <w:sz w:val="20"/>
        </w:rPr>
        <w:t>m</w:t>
      </w:r>
      <w:r w:rsidRPr="00E53EAF">
        <w:rPr>
          <w:rFonts w:ascii="Arial" w:hAnsi="Arial" w:cs="Arial"/>
          <w:sz w:val="20"/>
        </w:rPr>
        <w:t xml:space="preserve">edicine </w:t>
      </w:r>
      <w:r>
        <w:rPr>
          <w:rFonts w:ascii="Arial" w:hAnsi="Arial" w:cs="Arial"/>
          <w:sz w:val="20"/>
        </w:rPr>
        <w:t>t</w:t>
      </w:r>
      <w:r w:rsidRPr="00E53EAF">
        <w:rPr>
          <w:rFonts w:ascii="Arial" w:hAnsi="Arial" w:cs="Arial"/>
          <w:sz w:val="20"/>
        </w:rPr>
        <w:t>echnology questions</w:t>
      </w:r>
      <w:r>
        <w:rPr>
          <w:rFonts w:ascii="Arial" w:hAnsi="Arial" w:cs="Arial"/>
          <w:sz w:val="20"/>
        </w:rPr>
        <w:t>,</w:t>
      </w:r>
      <w:r w:rsidRPr="00E53EAF">
        <w:rPr>
          <w:rFonts w:ascii="Arial" w:hAnsi="Arial" w:cs="Arial"/>
          <w:sz w:val="20"/>
        </w:rPr>
        <w:t xml:space="preserve"> or</w:t>
      </w:r>
    </w:p>
    <w:p w:rsidR="00E130BC" w:rsidRDefault="006D0BB1" w:rsidP="00E130BC">
      <w:pPr>
        <w:pStyle w:val="ListParagraph"/>
        <w:numPr>
          <w:ilvl w:val="0"/>
          <w:numId w:val="24"/>
        </w:numPr>
        <w:spacing w:after="120" w:line="240" w:lineRule="auto"/>
        <w:contextualSpacing w:val="0"/>
        <w:rPr>
          <w:rFonts w:ascii="Arial" w:hAnsi="Arial" w:cs="Arial"/>
          <w:sz w:val="20"/>
        </w:rPr>
      </w:pPr>
      <w:r w:rsidRPr="00E53EAF">
        <w:rPr>
          <w:rFonts w:ascii="Arial" w:hAnsi="Arial" w:cs="Arial"/>
          <w:sz w:val="20"/>
        </w:rPr>
        <w:t xml:space="preserve">Domain 5c </w:t>
      </w:r>
      <w:r w:rsidR="00E13080">
        <w:rPr>
          <w:rFonts w:ascii="Arial" w:hAnsi="Arial" w:cs="Arial"/>
          <w:sz w:val="20"/>
        </w:rPr>
        <w:t>R</w:t>
      </w:r>
      <w:r w:rsidRPr="00E53EAF">
        <w:rPr>
          <w:rFonts w:ascii="Arial" w:hAnsi="Arial" w:cs="Arial"/>
          <w:sz w:val="20"/>
        </w:rPr>
        <w:t xml:space="preserve">adiation </w:t>
      </w:r>
      <w:r>
        <w:rPr>
          <w:rFonts w:ascii="Arial" w:hAnsi="Arial" w:cs="Arial"/>
          <w:sz w:val="20"/>
        </w:rPr>
        <w:t>t</w:t>
      </w:r>
      <w:r w:rsidRPr="00E53EAF">
        <w:rPr>
          <w:rFonts w:ascii="Arial" w:hAnsi="Arial" w:cs="Arial"/>
          <w:sz w:val="20"/>
        </w:rPr>
        <w:t>herapy questions</w:t>
      </w:r>
      <w:r>
        <w:rPr>
          <w:rFonts w:ascii="Arial" w:hAnsi="Arial" w:cs="Arial"/>
          <w:sz w:val="20"/>
        </w:rPr>
        <w:t>.</w:t>
      </w:r>
    </w:p>
    <w:p w:rsidR="004A2EB1" w:rsidRPr="006D0BB1" w:rsidRDefault="006D0BB1" w:rsidP="005C1927">
      <w:pPr>
        <w:pStyle w:val="AHPRAbodyContextparanumbered"/>
        <w:ind w:left="0" w:hanging="425"/>
      </w:pPr>
      <w:r>
        <w:t xml:space="preserve">The other </w:t>
      </w:r>
      <w:r w:rsidRPr="006D0BB1">
        <w:t>50 per</w:t>
      </w:r>
      <w:r w:rsidR="00E13080">
        <w:t xml:space="preserve"> </w:t>
      </w:r>
      <w:r w:rsidRPr="006D0BB1">
        <w:t>cent of questions will come from Domains 1-5 (not including 5a, 5b, 5c) which are common capabilities for medical radiation science</w:t>
      </w:r>
      <w:r>
        <w:t xml:space="preserve">. </w:t>
      </w:r>
      <w:r w:rsidRPr="00E53EAF">
        <w:rPr>
          <w:szCs w:val="20"/>
        </w:rPr>
        <w:t xml:space="preserve">Questions will not be </w:t>
      </w:r>
      <w:r>
        <w:rPr>
          <w:szCs w:val="20"/>
        </w:rPr>
        <w:t>distributed evenly</w:t>
      </w:r>
      <w:r w:rsidRPr="00E53EAF">
        <w:rPr>
          <w:szCs w:val="20"/>
        </w:rPr>
        <w:t xml:space="preserve"> across domains, f</w:t>
      </w:r>
      <w:r>
        <w:rPr>
          <w:szCs w:val="20"/>
        </w:rPr>
        <w:t xml:space="preserve">or example, </w:t>
      </w:r>
      <w:r w:rsidRPr="00E53EAF">
        <w:rPr>
          <w:szCs w:val="20"/>
        </w:rPr>
        <w:t xml:space="preserve">there </w:t>
      </w:r>
      <w:r>
        <w:rPr>
          <w:szCs w:val="20"/>
        </w:rPr>
        <w:t>will be a greater focus on radiation safety (Domain 4) than other domains.</w:t>
      </w:r>
    </w:p>
    <w:p w:rsidR="002034F4" w:rsidRPr="00E13080" w:rsidRDefault="00E130BC" w:rsidP="004172D0">
      <w:pPr>
        <w:pStyle w:val="AHPRASubheadinglevel2"/>
        <w:spacing w:before="120" w:after="120"/>
        <w:rPr>
          <w:rFonts w:eastAsiaTheme="minorHAnsi" w:cs="Arial"/>
          <w:bCs/>
          <w:szCs w:val="20"/>
          <w:lang w:val="en-AU" w:eastAsia="en-AU"/>
        </w:rPr>
      </w:pPr>
      <w:bookmarkStart w:id="19" w:name="_Toc426364241"/>
      <w:bookmarkStart w:id="20" w:name="_Toc426364370"/>
      <w:r w:rsidRPr="00E130BC">
        <w:rPr>
          <w:rFonts w:eastAsiaTheme="minorHAnsi" w:cs="Arial"/>
          <w:bCs/>
          <w:szCs w:val="20"/>
          <w:lang w:val="en-AU" w:eastAsia="en-AU"/>
        </w:rPr>
        <w:t>Use of examination results</w:t>
      </w:r>
      <w:bookmarkEnd w:id="19"/>
      <w:bookmarkEnd w:id="20"/>
    </w:p>
    <w:p w:rsidR="006D0BB1" w:rsidRDefault="006D0BB1" w:rsidP="00170614">
      <w:pPr>
        <w:pStyle w:val="AHPRAbodyContextparanumbered"/>
        <w:ind w:left="0" w:hanging="425"/>
        <w:rPr>
          <w:szCs w:val="20"/>
        </w:rPr>
      </w:pPr>
      <w:r>
        <w:rPr>
          <w:szCs w:val="20"/>
        </w:rPr>
        <w:t>The Board will use examination results as a basis for making a range of regulatory decisions including</w:t>
      </w:r>
      <w:r w:rsidR="00E13080">
        <w:rPr>
          <w:szCs w:val="20"/>
        </w:rPr>
        <w:t>:</w:t>
      </w:r>
    </w:p>
    <w:p w:rsidR="006D0BB1" w:rsidRPr="006D0BB1" w:rsidRDefault="006D0BB1" w:rsidP="009D19A9">
      <w:pPr>
        <w:pStyle w:val="ListParagraph"/>
        <w:numPr>
          <w:ilvl w:val="0"/>
          <w:numId w:val="16"/>
        </w:numPr>
        <w:rPr>
          <w:rFonts w:ascii="Arial" w:hAnsi="Arial" w:cs="Arial"/>
          <w:sz w:val="20"/>
          <w:szCs w:val="20"/>
        </w:rPr>
      </w:pPr>
      <w:r w:rsidRPr="006D0BB1">
        <w:rPr>
          <w:rFonts w:ascii="Arial" w:hAnsi="Arial" w:cs="Arial"/>
          <w:sz w:val="20"/>
          <w:szCs w:val="20"/>
        </w:rPr>
        <w:t>whether to grant or renew registration</w:t>
      </w:r>
    </w:p>
    <w:p w:rsidR="006D0BB1" w:rsidRPr="006D0BB1" w:rsidRDefault="006D0BB1" w:rsidP="009D19A9">
      <w:pPr>
        <w:pStyle w:val="ListParagraph"/>
        <w:numPr>
          <w:ilvl w:val="0"/>
          <w:numId w:val="16"/>
        </w:numPr>
        <w:rPr>
          <w:rFonts w:ascii="Arial" w:hAnsi="Arial" w:cs="Arial"/>
          <w:sz w:val="20"/>
          <w:szCs w:val="20"/>
        </w:rPr>
      </w:pPr>
      <w:r w:rsidRPr="006D0BB1">
        <w:rPr>
          <w:rFonts w:ascii="Arial" w:hAnsi="Arial" w:cs="Arial"/>
          <w:sz w:val="20"/>
          <w:szCs w:val="20"/>
        </w:rPr>
        <w:t>whether</w:t>
      </w:r>
      <w:r>
        <w:rPr>
          <w:rFonts w:ascii="Arial" w:hAnsi="Arial" w:cs="Arial"/>
          <w:sz w:val="20"/>
          <w:szCs w:val="20"/>
        </w:rPr>
        <w:t xml:space="preserve"> to impose</w:t>
      </w:r>
      <w:r w:rsidRPr="006D0BB1">
        <w:rPr>
          <w:rFonts w:ascii="Arial" w:hAnsi="Arial" w:cs="Arial"/>
          <w:sz w:val="20"/>
          <w:szCs w:val="20"/>
        </w:rPr>
        <w:t xml:space="preserve"> conditions </w:t>
      </w:r>
    </w:p>
    <w:p w:rsidR="006D0BB1" w:rsidRPr="006D0BB1" w:rsidRDefault="006D0BB1" w:rsidP="009D19A9">
      <w:pPr>
        <w:pStyle w:val="ListParagraph"/>
        <w:numPr>
          <w:ilvl w:val="0"/>
          <w:numId w:val="16"/>
        </w:numPr>
        <w:rPr>
          <w:rFonts w:ascii="Arial" w:hAnsi="Arial" w:cs="Arial"/>
          <w:sz w:val="20"/>
          <w:szCs w:val="20"/>
        </w:rPr>
      </w:pPr>
      <w:r w:rsidRPr="006D0BB1">
        <w:rPr>
          <w:rFonts w:ascii="Arial" w:hAnsi="Arial" w:cs="Arial"/>
          <w:sz w:val="20"/>
          <w:szCs w:val="20"/>
        </w:rPr>
        <w:t>whether to refuse registration or renewal of registration</w:t>
      </w:r>
      <w:r w:rsidR="00E13080">
        <w:rPr>
          <w:rFonts w:ascii="Arial" w:hAnsi="Arial" w:cs="Arial"/>
          <w:sz w:val="20"/>
          <w:szCs w:val="20"/>
        </w:rPr>
        <w:t>, or</w:t>
      </w:r>
    </w:p>
    <w:p w:rsidR="006D0BB1" w:rsidRPr="006D0BB1" w:rsidRDefault="006D0BB1" w:rsidP="009D19A9">
      <w:pPr>
        <w:pStyle w:val="ListParagraph"/>
        <w:numPr>
          <w:ilvl w:val="0"/>
          <w:numId w:val="16"/>
        </w:numPr>
        <w:rPr>
          <w:rFonts w:ascii="Arial" w:hAnsi="Arial" w:cs="Arial"/>
          <w:sz w:val="20"/>
          <w:szCs w:val="20"/>
        </w:rPr>
      </w:pPr>
      <w:r>
        <w:rPr>
          <w:rFonts w:ascii="Arial" w:hAnsi="Arial" w:cs="Arial"/>
          <w:sz w:val="20"/>
          <w:szCs w:val="20"/>
        </w:rPr>
        <w:t>whether to remove conditions</w:t>
      </w:r>
      <w:r w:rsidR="00E13080">
        <w:rPr>
          <w:rFonts w:ascii="Arial" w:hAnsi="Arial" w:cs="Arial"/>
          <w:sz w:val="20"/>
          <w:szCs w:val="20"/>
        </w:rPr>
        <w:t>.</w:t>
      </w:r>
    </w:p>
    <w:p w:rsidR="002034F4" w:rsidRPr="00F26727" w:rsidRDefault="006D0BB1" w:rsidP="00170614">
      <w:pPr>
        <w:pStyle w:val="AHPRAbodyContextparanumbered"/>
        <w:ind w:left="0" w:hanging="425"/>
        <w:rPr>
          <w:szCs w:val="20"/>
        </w:rPr>
      </w:pPr>
      <w:r w:rsidRPr="00D04F03">
        <w:rPr>
          <w:szCs w:val="20"/>
        </w:rPr>
        <w:t>P</w:t>
      </w:r>
      <w:r w:rsidR="00AA4E3B" w:rsidRPr="00D04F03">
        <w:rPr>
          <w:szCs w:val="20"/>
        </w:rPr>
        <w:t>ractitioner</w:t>
      </w:r>
      <w:r w:rsidRPr="00D04F03">
        <w:rPr>
          <w:szCs w:val="20"/>
        </w:rPr>
        <w:t xml:space="preserve">s will have </w:t>
      </w:r>
      <w:r w:rsidRPr="005C1927">
        <w:rPr>
          <w:szCs w:val="20"/>
          <w:u w:val="single"/>
        </w:rPr>
        <w:t xml:space="preserve">three </w:t>
      </w:r>
      <w:r w:rsidRPr="00D04F03">
        <w:rPr>
          <w:szCs w:val="20"/>
        </w:rPr>
        <w:t xml:space="preserve">opportunities to sit the examination. If a practitioner has not passed the examination </w:t>
      </w:r>
      <w:r w:rsidR="00AA4E3B" w:rsidRPr="00D04F03">
        <w:rPr>
          <w:szCs w:val="20"/>
        </w:rPr>
        <w:t>after</w:t>
      </w:r>
      <w:r w:rsidRPr="00D04F03">
        <w:rPr>
          <w:szCs w:val="20"/>
        </w:rPr>
        <w:t xml:space="preserve"> the third attempt the Board is of the general view that </w:t>
      </w:r>
      <w:r w:rsidR="00F26727" w:rsidRPr="00D04F03">
        <w:rPr>
          <w:szCs w:val="20"/>
        </w:rPr>
        <w:t>the practitioner</w:t>
      </w:r>
      <w:r w:rsidRPr="00D04F03">
        <w:rPr>
          <w:szCs w:val="20"/>
        </w:rPr>
        <w:t xml:space="preserve"> </w:t>
      </w:r>
      <w:r w:rsidR="00F26727" w:rsidRPr="00D04F03">
        <w:rPr>
          <w:szCs w:val="20"/>
        </w:rPr>
        <w:t>is</w:t>
      </w:r>
      <w:r w:rsidRPr="00D04F03">
        <w:rPr>
          <w:szCs w:val="20"/>
        </w:rPr>
        <w:t xml:space="preserve"> not able to apply foundational knowledge and concepts to the minimum level required for safe practice. If the Board proposes to decline </w:t>
      </w:r>
      <w:r w:rsidR="00F26727" w:rsidRPr="00D04F03">
        <w:rPr>
          <w:szCs w:val="20"/>
        </w:rPr>
        <w:t>an</w:t>
      </w:r>
      <w:r w:rsidRPr="00D04F03">
        <w:rPr>
          <w:szCs w:val="20"/>
        </w:rPr>
        <w:t xml:space="preserve"> application for registration or renewal of registration </w:t>
      </w:r>
      <w:r w:rsidR="00F26727" w:rsidRPr="00D04F03">
        <w:rPr>
          <w:szCs w:val="20"/>
        </w:rPr>
        <w:t>from a practitioner who has failed the examination three times, the practitioner</w:t>
      </w:r>
      <w:r w:rsidRPr="00D04F03">
        <w:rPr>
          <w:szCs w:val="20"/>
        </w:rPr>
        <w:t xml:space="preserve"> will have an o</w:t>
      </w:r>
      <w:r w:rsidR="00F26727" w:rsidRPr="00D04F03">
        <w:rPr>
          <w:szCs w:val="20"/>
        </w:rPr>
        <w:t>pportunity to make a submission before the Board’s decision is made</w:t>
      </w:r>
      <w:r w:rsidR="00F26727">
        <w:rPr>
          <w:szCs w:val="20"/>
        </w:rPr>
        <w:t>.</w:t>
      </w:r>
    </w:p>
    <w:p w:rsidR="008144C6" w:rsidRPr="005B754A" w:rsidRDefault="008144C6" w:rsidP="005B754A">
      <w:pPr>
        <w:pStyle w:val="AHPRASubheadinglevel2"/>
        <w:spacing w:before="360" w:after="120"/>
        <w:rPr>
          <w:rFonts w:eastAsiaTheme="minorHAnsi" w:cs="Arial"/>
          <w:bCs/>
          <w:color w:val="007DC3"/>
          <w:szCs w:val="20"/>
          <w:lang w:val="en-AU" w:eastAsia="en-AU"/>
        </w:rPr>
      </w:pPr>
      <w:bookmarkStart w:id="21" w:name="_Toc426364371"/>
      <w:r w:rsidRPr="005B754A">
        <w:rPr>
          <w:rFonts w:eastAsiaTheme="minorHAnsi" w:cs="Arial"/>
          <w:bCs/>
          <w:color w:val="007DC3"/>
          <w:szCs w:val="20"/>
          <w:lang w:val="en-AU" w:eastAsia="en-AU"/>
        </w:rPr>
        <w:t>Options statement</w:t>
      </w:r>
      <w:bookmarkEnd w:id="21"/>
    </w:p>
    <w:p w:rsidR="00D46604" w:rsidRPr="00E53EAF" w:rsidRDefault="002034F4" w:rsidP="00D04F03">
      <w:pPr>
        <w:pStyle w:val="AHPRAbodyContextparanumbered"/>
        <w:ind w:left="0" w:hanging="425"/>
        <w:rPr>
          <w:szCs w:val="20"/>
        </w:rPr>
      </w:pPr>
      <w:r>
        <w:rPr>
          <w:szCs w:val="20"/>
        </w:rPr>
        <w:t>The prime objective of the National Law is</w:t>
      </w:r>
      <w:r w:rsidR="00D46604" w:rsidRPr="00E53EAF">
        <w:rPr>
          <w:szCs w:val="20"/>
        </w:rPr>
        <w:t xml:space="preserve"> to provide for the protection of the public by ensuring that only health practitioners who are suitably trained and qualified to practise in a competent and ethical manner are registered</w:t>
      </w:r>
      <w:r>
        <w:rPr>
          <w:rStyle w:val="FootnoteReference"/>
          <w:szCs w:val="20"/>
        </w:rPr>
        <w:footnoteReference w:id="3"/>
      </w:r>
      <w:r w:rsidR="00D46604" w:rsidRPr="00E53EAF">
        <w:rPr>
          <w:szCs w:val="20"/>
        </w:rPr>
        <w:t xml:space="preserve">. </w:t>
      </w:r>
      <w:r>
        <w:rPr>
          <w:szCs w:val="20"/>
        </w:rPr>
        <w:t>The National Law makes specific provision and reference to an examination and its use by the Board intends to meet</w:t>
      </w:r>
      <w:r w:rsidR="00D46604" w:rsidRPr="00E53EAF">
        <w:rPr>
          <w:szCs w:val="20"/>
        </w:rPr>
        <w:t xml:space="preserve"> </w:t>
      </w:r>
      <w:r>
        <w:rPr>
          <w:szCs w:val="20"/>
        </w:rPr>
        <w:t>other objectives of the National Law by:</w:t>
      </w:r>
    </w:p>
    <w:p w:rsidR="00AE681B" w:rsidRDefault="00D46604" w:rsidP="009D19A9">
      <w:pPr>
        <w:pStyle w:val="ListParagraph"/>
        <w:numPr>
          <w:ilvl w:val="0"/>
          <w:numId w:val="4"/>
        </w:numPr>
        <w:rPr>
          <w:rFonts w:ascii="Arial" w:hAnsi="Arial" w:cs="Arial"/>
          <w:sz w:val="20"/>
          <w:szCs w:val="20"/>
        </w:rPr>
      </w:pPr>
      <w:r w:rsidRPr="00E53EAF">
        <w:rPr>
          <w:rFonts w:ascii="Arial" w:hAnsi="Arial" w:cs="Arial"/>
          <w:sz w:val="20"/>
          <w:szCs w:val="20"/>
        </w:rPr>
        <w:t>ensuring that only health practitioners who are suitably trained and qualified to practise in a competent and ethical manner are registered</w:t>
      </w:r>
    </w:p>
    <w:p w:rsidR="00D46604" w:rsidRDefault="00D46604" w:rsidP="009D19A9">
      <w:pPr>
        <w:pStyle w:val="ListParagraph"/>
        <w:numPr>
          <w:ilvl w:val="0"/>
          <w:numId w:val="4"/>
        </w:numPr>
        <w:rPr>
          <w:rFonts w:ascii="Arial" w:hAnsi="Arial" w:cs="Arial"/>
          <w:sz w:val="20"/>
          <w:szCs w:val="20"/>
        </w:rPr>
      </w:pPr>
      <w:r w:rsidRPr="00E53EAF">
        <w:rPr>
          <w:rFonts w:ascii="Arial" w:hAnsi="Arial" w:cs="Arial"/>
          <w:sz w:val="20"/>
          <w:szCs w:val="20"/>
        </w:rPr>
        <w:t>providing a rigorous and responsive assessment of overseas</w:t>
      </w:r>
      <w:r>
        <w:rPr>
          <w:rFonts w:ascii="Arial" w:hAnsi="Arial" w:cs="Arial"/>
          <w:sz w:val="20"/>
          <w:szCs w:val="20"/>
        </w:rPr>
        <w:t>-</w:t>
      </w:r>
      <w:r w:rsidRPr="00E53EAF">
        <w:rPr>
          <w:rFonts w:ascii="Arial" w:hAnsi="Arial" w:cs="Arial"/>
          <w:sz w:val="20"/>
          <w:szCs w:val="20"/>
        </w:rPr>
        <w:t>trained health practitioners</w:t>
      </w:r>
      <w:r w:rsidR="002034F4">
        <w:rPr>
          <w:rFonts w:ascii="Arial" w:hAnsi="Arial" w:cs="Arial"/>
          <w:sz w:val="20"/>
          <w:szCs w:val="20"/>
        </w:rPr>
        <w:t>, and thereby,</w:t>
      </w:r>
    </w:p>
    <w:p w:rsidR="002034F4" w:rsidRPr="00E53EAF" w:rsidRDefault="002034F4" w:rsidP="009D19A9">
      <w:pPr>
        <w:pStyle w:val="ListParagraph"/>
        <w:numPr>
          <w:ilvl w:val="0"/>
          <w:numId w:val="4"/>
        </w:numPr>
        <w:rPr>
          <w:rFonts w:ascii="Arial" w:hAnsi="Arial" w:cs="Arial"/>
          <w:sz w:val="20"/>
          <w:szCs w:val="20"/>
        </w:rPr>
      </w:pPr>
      <w:r>
        <w:rPr>
          <w:rFonts w:ascii="Arial" w:hAnsi="Arial" w:cs="Arial"/>
          <w:sz w:val="20"/>
          <w:szCs w:val="20"/>
        </w:rPr>
        <w:t>facilitating access to services</w:t>
      </w:r>
      <w:r w:rsidR="00E13080">
        <w:rPr>
          <w:rFonts w:ascii="Arial" w:hAnsi="Arial" w:cs="Arial"/>
          <w:sz w:val="20"/>
          <w:szCs w:val="20"/>
        </w:rPr>
        <w:t>, and</w:t>
      </w:r>
      <w:r w:rsidRPr="00E53EAF">
        <w:rPr>
          <w:rFonts w:ascii="Arial" w:hAnsi="Arial" w:cs="Arial"/>
          <w:sz w:val="20"/>
          <w:szCs w:val="20"/>
        </w:rPr>
        <w:t xml:space="preserve"> </w:t>
      </w:r>
    </w:p>
    <w:p w:rsidR="002034F4" w:rsidRPr="00E53EAF" w:rsidRDefault="002034F4" w:rsidP="009D19A9">
      <w:pPr>
        <w:pStyle w:val="ListParagraph"/>
        <w:numPr>
          <w:ilvl w:val="0"/>
          <w:numId w:val="4"/>
        </w:numPr>
        <w:rPr>
          <w:rFonts w:ascii="Arial" w:hAnsi="Arial" w:cs="Arial"/>
          <w:sz w:val="20"/>
          <w:szCs w:val="20"/>
        </w:rPr>
      </w:pPr>
      <w:r w:rsidRPr="00E53EAF">
        <w:rPr>
          <w:rFonts w:ascii="Arial" w:hAnsi="Arial" w:cs="Arial"/>
          <w:sz w:val="20"/>
          <w:szCs w:val="20"/>
        </w:rPr>
        <w:t xml:space="preserve">facilitating </w:t>
      </w:r>
      <w:r>
        <w:rPr>
          <w:rFonts w:ascii="Arial" w:hAnsi="Arial" w:cs="Arial"/>
          <w:sz w:val="20"/>
          <w:szCs w:val="20"/>
        </w:rPr>
        <w:t xml:space="preserve">a </w:t>
      </w:r>
      <w:r w:rsidRPr="00E53EAF">
        <w:rPr>
          <w:rFonts w:ascii="Arial" w:hAnsi="Arial" w:cs="Arial"/>
          <w:sz w:val="20"/>
          <w:szCs w:val="20"/>
        </w:rPr>
        <w:t>flexible, responsive and sustainable Australian health workforce</w:t>
      </w:r>
      <w:r w:rsidR="00E13080">
        <w:rPr>
          <w:rFonts w:ascii="Arial" w:hAnsi="Arial" w:cs="Arial"/>
          <w:sz w:val="20"/>
          <w:szCs w:val="20"/>
        </w:rPr>
        <w:t>.</w:t>
      </w:r>
    </w:p>
    <w:p w:rsidR="00E130BC" w:rsidRDefault="00E130BC" w:rsidP="00E130BC">
      <w:pPr>
        <w:pStyle w:val="ListParagraph"/>
        <w:spacing w:after="0"/>
        <w:rPr>
          <w:rFonts w:ascii="Arial" w:hAnsi="Arial" w:cs="Arial"/>
          <w:sz w:val="20"/>
          <w:szCs w:val="20"/>
        </w:rPr>
      </w:pPr>
    </w:p>
    <w:p w:rsidR="008144C6" w:rsidRPr="00E53EAF" w:rsidRDefault="0068366F" w:rsidP="008144C6">
      <w:pPr>
        <w:rPr>
          <w:rFonts w:ascii="Arial" w:hAnsi="Arial" w:cs="Arial"/>
          <w:sz w:val="20"/>
          <w:szCs w:val="20"/>
        </w:rPr>
      </w:pPr>
      <w:r w:rsidRPr="00E53EAF">
        <w:rPr>
          <w:rFonts w:ascii="Arial" w:hAnsi="Arial" w:cs="Arial"/>
          <w:sz w:val="20"/>
          <w:szCs w:val="20"/>
        </w:rPr>
        <w:t>The Board has</w:t>
      </w:r>
      <w:r w:rsidR="008144C6" w:rsidRPr="00E53EAF">
        <w:rPr>
          <w:rFonts w:ascii="Arial" w:hAnsi="Arial" w:cs="Arial"/>
          <w:sz w:val="20"/>
          <w:szCs w:val="20"/>
        </w:rPr>
        <w:t xml:space="preserve"> considered a number of options in developing this proposal.</w:t>
      </w:r>
    </w:p>
    <w:p w:rsidR="008F152D" w:rsidRPr="00E53EAF" w:rsidRDefault="00E448C5" w:rsidP="008F152D">
      <w:pPr>
        <w:rPr>
          <w:rFonts w:ascii="Arial" w:hAnsi="Arial" w:cs="Arial"/>
          <w:b/>
          <w:sz w:val="20"/>
          <w:szCs w:val="20"/>
        </w:rPr>
      </w:pPr>
      <w:r>
        <w:rPr>
          <w:rFonts w:ascii="Arial" w:hAnsi="Arial" w:cs="Arial"/>
          <w:b/>
          <w:sz w:val="20"/>
          <w:szCs w:val="20"/>
        </w:rPr>
        <w:t xml:space="preserve">Option 1 – </w:t>
      </w:r>
      <w:r w:rsidR="002034F4">
        <w:rPr>
          <w:rFonts w:ascii="Arial" w:hAnsi="Arial" w:cs="Arial"/>
          <w:b/>
          <w:sz w:val="20"/>
          <w:szCs w:val="20"/>
        </w:rPr>
        <w:t xml:space="preserve">Do nothing. </w:t>
      </w:r>
    </w:p>
    <w:p w:rsidR="002034F4" w:rsidRDefault="002034F4" w:rsidP="00D04F03">
      <w:pPr>
        <w:pStyle w:val="AHPRAbodyContextparanumbered"/>
        <w:ind w:left="0" w:hanging="425"/>
        <w:rPr>
          <w:szCs w:val="20"/>
        </w:rPr>
      </w:pPr>
      <w:r>
        <w:rPr>
          <w:szCs w:val="20"/>
        </w:rPr>
        <w:t>Under this option the Board would provide no information or only provide limited guidance for practitioners.</w:t>
      </w:r>
    </w:p>
    <w:p w:rsidR="00AD0C77" w:rsidRDefault="00AD0C77" w:rsidP="0002544C">
      <w:pPr>
        <w:autoSpaceDE w:val="0"/>
        <w:autoSpaceDN w:val="0"/>
        <w:adjustRightInd w:val="0"/>
        <w:spacing w:after="0"/>
        <w:rPr>
          <w:rFonts w:ascii="Arial" w:hAnsi="Arial" w:cs="Arial"/>
          <w:sz w:val="20"/>
          <w:szCs w:val="20"/>
        </w:rPr>
      </w:pPr>
    </w:p>
    <w:p w:rsidR="008F152D" w:rsidRPr="00E53EAF" w:rsidRDefault="008F152D" w:rsidP="008F152D">
      <w:pPr>
        <w:rPr>
          <w:rFonts w:ascii="Arial" w:hAnsi="Arial" w:cs="Arial"/>
          <w:b/>
          <w:sz w:val="20"/>
          <w:szCs w:val="20"/>
        </w:rPr>
      </w:pPr>
      <w:r w:rsidRPr="00E53EAF">
        <w:rPr>
          <w:rFonts w:ascii="Arial" w:hAnsi="Arial" w:cs="Arial"/>
          <w:b/>
          <w:sz w:val="20"/>
          <w:szCs w:val="20"/>
        </w:rPr>
        <w:t>Option 2 –</w:t>
      </w:r>
      <w:r w:rsidR="00E13080">
        <w:rPr>
          <w:rFonts w:ascii="Arial" w:hAnsi="Arial" w:cs="Arial"/>
          <w:b/>
          <w:sz w:val="20"/>
          <w:szCs w:val="20"/>
        </w:rPr>
        <w:t xml:space="preserve"> D</w:t>
      </w:r>
      <w:r w:rsidR="009E7CCB">
        <w:rPr>
          <w:rFonts w:ascii="Arial" w:hAnsi="Arial" w:cs="Arial"/>
          <w:b/>
          <w:sz w:val="20"/>
          <w:szCs w:val="20"/>
        </w:rPr>
        <w:t>evelop a guideline</w:t>
      </w:r>
    </w:p>
    <w:p w:rsidR="002034F4" w:rsidRPr="005769C0" w:rsidRDefault="002034F4" w:rsidP="009D19A9">
      <w:pPr>
        <w:pStyle w:val="AHPRAbodyContextparanumbered"/>
        <w:ind w:left="0" w:hanging="425"/>
        <w:rPr>
          <w:szCs w:val="20"/>
        </w:rPr>
      </w:pPr>
      <w:r>
        <w:rPr>
          <w:szCs w:val="20"/>
        </w:rPr>
        <w:t xml:space="preserve">Under this option the Board would provide information and guidance to practitioners about </w:t>
      </w:r>
      <w:r w:rsidRPr="00E53EAF">
        <w:rPr>
          <w:szCs w:val="20"/>
        </w:rPr>
        <w:t>the format and requirements of the examination</w:t>
      </w:r>
      <w:r>
        <w:rPr>
          <w:szCs w:val="20"/>
        </w:rPr>
        <w:t xml:space="preserve">, </w:t>
      </w:r>
      <w:r w:rsidRPr="00E53EAF">
        <w:rPr>
          <w:szCs w:val="20"/>
        </w:rPr>
        <w:t>the capabilities required to satisfy the requirements of the examination</w:t>
      </w:r>
      <w:r>
        <w:rPr>
          <w:szCs w:val="20"/>
        </w:rPr>
        <w:t xml:space="preserve">, </w:t>
      </w:r>
      <w:r w:rsidRPr="00E53EAF">
        <w:rPr>
          <w:szCs w:val="20"/>
        </w:rPr>
        <w:t>preparing for the examination</w:t>
      </w:r>
      <w:r>
        <w:rPr>
          <w:szCs w:val="20"/>
        </w:rPr>
        <w:t xml:space="preserve"> (including a suggested reading list), examination rules and </w:t>
      </w:r>
      <w:r w:rsidRPr="002034F4">
        <w:rPr>
          <w:szCs w:val="20"/>
        </w:rPr>
        <w:t>how examination results may be used by the Boar</w:t>
      </w:r>
      <w:r>
        <w:rPr>
          <w:szCs w:val="20"/>
        </w:rPr>
        <w:t xml:space="preserve">d to </w:t>
      </w:r>
      <w:r w:rsidR="00E13080">
        <w:rPr>
          <w:szCs w:val="20"/>
        </w:rPr>
        <w:t xml:space="preserve">make </w:t>
      </w:r>
      <w:r>
        <w:rPr>
          <w:szCs w:val="20"/>
        </w:rPr>
        <w:t>decisions on registration.</w:t>
      </w:r>
    </w:p>
    <w:p w:rsidR="00E130BC" w:rsidRDefault="00F26727" w:rsidP="00E130BC">
      <w:pPr>
        <w:pStyle w:val="AHPRAbodyContextparanumbered"/>
        <w:spacing w:after="0"/>
        <w:ind w:left="0" w:hanging="425"/>
        <w:rPr>
          <w:szCs w:val="20"/>
        </w:rPr>
      </w:pPr>
      <w:r>
        <w:rPr>
          <w:szCs w:val="20"/>
        </w:rPr>
        <w:t xml:space="preserve">The </w:t>
      </w:r>
      <w:r w:rsidR="002034F4">
        <w:rPr>
          <w:szCs w:val="20"/>
        </w:rPr>
        <w:t>National Law requires a Board to undertake wide</w:t>
      </w:r>
      <w:r w:rsidR="00E13080">
        <w:rPr>
          <w:szCs w:val="20"/>
        </w:rPr>
        <w:t>-</w:t>
      </w:r>
      <w:r w:rsidR="002034F4">
        <w:rPr>
          <w:szCs w:val="20"/>
        </w:rPr>
        <w:t>ranging consultation</w:t>
      </w:r>
      <w:r>
        <w:rPr>
          <w:szCs w:val="20"/>
        </w:rPr>
        <w:t xml:space="preserve"> when developing a guideline.</w:t>
      </w:r>
    </w:p>
    <w:p w:rsidR="009638FB" w:rsidRPr="00E53EAF" w:rsidRDefault="009638FB" w:rsidP="009638FB">
      <w:pPr>
        <w:autoSpaceDE w:val="0"/>
        <w:autoSpaceDN w:val="0"/>
        <w:adjustRightInd w:val="0"/>
        <w:spacing w:after="0"/>
        <w:rPr>
          <w:rFonts w:ascii="Arial" w:hAnsi="Arial" w:cs="Arial"/>
          <w:sz w:val="20"/>
          <w:szCs w:val="20"/>
        </w:rPr>
      </w:pPr>
    </w:p>
    <w:p w:rsidR="009638FB" w:rsidRPr="00E53EAF" w:rsidRDefault="009638FB" w:rsidP="009638FB">
      <w:pPr>
        <w:spacing w:after="0"/>
        <w:rPr>
          <w:rFonts w:ascii="Arial" w:hAnsi="Arial" w:cs="Arial"/>
          <w:b/>
          <w:bCs/>
          <w:sz w:val="20"/>
          <w:szCs w:val="20"/>
        </w:rPr>
      </w:pPr>
      <w:r w:rsidRPr="00E53EAF">
        <w:rPr>
          <w:rFonts w:ascii="Arial" w:hAnsi="Arial" w:cs="Arial"/>
          <w:b/>
          <w:bCs/>
          <w:sz w:val="20"/>
          <w:szCs w:val="20"/>
        </w:rPr>
        <w:t>Preferred option</w:t>
      </w:r>
    </w:p>
    <w:p w:rsidR="009638FB" w:rsidRPr="00E53EAF" w:rsidRDefault="009638FB" w:rsidP="009638FB">
      <w:pPr>
        <w:spacing w:after="0"/>
        <w:rPr>
          <w:rFonts w:ascii="Arial" w:hAnsi="Arial" w:cs="Arial"/>
          <w:b/>
          <w:bCs/>
          <w:sz w:val="20"/>
          <w:szCs w:val="20"/>
        </w:rPr>
      </w:pPr>
    </w:p>
    <w:p w:rsidR="009638FB" w:rsidRPr="00E53EAF" w:rsidRDefault="009638FB" w:rsidP="009638FB">
      <w:pPr>
        <w:spacing w:after="0"/>
        <w:rPr>
          <w:rFonts w:ascii="Arial" w:hAnsi="Arial" w:cs="Arial"/>
          <w:bCs/>
          <w:color w:val="000000"/>
          <w:sz w:val="20"/>
          <w:szCs w:val="20"/>
          <w:lang w:eastAsia="en-AU"/>
        </w:rPr>
      </w:pPr>
      <w:r w:rsidRPr="00E53EAF">
        <w:rPr>
          <w:rFonts w:ascii="Arial" w:hAnsi="Arial" w:cs="Arial"/>
          <w:bCs/>
          <w:color w:val="000000"/>
          <w:sz w:val="20"/>
          <w:szCs w:val="20"/>
          <w:lang w:eastAsia="en-AU"/>
        </w:rPr>
        <w:t>Option 2 – Develop a guideline.</w:t>
      </w:r>
    </w:p>
    <w:p w:rsidR="004A5695" w:rsidRDefault="004A5695" w:rsidP="00D04F03">
      <w:pPr>
        <w:widowControl w:val="0"/>
        <w:autoSpaceDE w:val="0"/>
        <w:autoSpaceDN w:val="0"/>
        <w:adjustRightInd w:val="0"/>
        <w:rPr>
          <w:rFonts w:ascii="Arial" w:hAnsi="Arial" w:cs="Arial"/>
          <w:b/>
          <w:sz w:val="20"/>
          <w:szCs w:val="20"/>
        </w:rPr>
      </w:pPr>
    </w:p>
    <w:p w:rsidR="00D04F03" w:rsidRDefault="00D04F03" w:rsidP="00D04F03">
      <w:pPr>
        <w:widowControl w:val="0"/>
        <w:autoSpaceDE w:val="0"/>
        <w:autoSpaceDN w:val="0"/>
        <w:adjustRightInd w:val="0"/>
        <w:rPr>
          <w:rFonts w:ascii="Arial" w:hAnsi="Arial" w:cs="Arial"/>
          <w:b/>
          <w:sz w:val="20"/>
          <w:szCs w:val="20"/>
        </w:rPr>
      </w:pPr>
      <w:r>
        <w:rPr>
          <w:rFonts w:ascii="Arial" w:hAnsi="Arial" w:cs="Arial"/>
          <w:b/>
          <w:sz w:val="20"/>
          <w:szCs w:val="20"/>
        </w:rPr>
        <w:t xml:space="preserve">Estimated impacts of the </w:t>
      </w:r>
      <w:r w:rsidR="009E7CCB">
        <w:rPr>
          <w:rFonts w:ascii="Arial" w:hAnsi="Arial" w:cs="Arial"/>
          <w:b/>
          <w:sz w:val="20"/>
          <w:szCs w:val="20"/>
        </w:rPr>
        <w:t>draft guideline</w:t>
      </w:r>
    </w:p>
    <w:p w:rsidR="004A6A96" w:rsidRPr="004A6A96" w:rsidRDefault="004A6A96" w:rsidP="009D19A9">
      <w:pPr>
        <w:pStyle w:val="AHPRAbodyContextparanumbered"/>
        <w:ind w:left="0" w:hanging="425"/>
        <w:rPr>
          <w:szCs w:val="20"/>
        </w:rPr>
      </w:pPr>
      <w:r>
        <w:rPr>
          <w:szCs w:val="20"/>
        </w:rPr>
        <w:t xml:space="preserve">The </w:t>
      </w:r>
      <w:r w:rsidR="009E7CCB">
        <w:rPr>
          <w:szCs w:val="20"/>
        </w:rPr>
        <w:t xml:space="preserve">approved </w:t>
      </w:r>
      <w:r w:rsidR="009E7CCB" w:rsidRPr="009E7CCB">
        <w:rPr>
          <w:i/>
          <w:szCs w:val="20"/>
        </w:rPr>
        <w:t>Supervised practice registration standard</w:t>
      </w:r>
      <w:r w:rsidR="009E7CCB">
        <w:rPr>
          <w:szCs w:val="20"/>
        </w:rPr>
        <w:t xml:space="preserve"> for medical radiation practice includes a provision that allows the Board to require an examination. </w:t>
      </w:r>
      <w:r w:rsidRPr="004A6A96">
        <w:rPr>
          <w:szCs w:val="20"/>
        </w:rPr>
        <w:t>The Board estimates that the guidelines represent a minimal regulatory impact for practitioners and the public</w:t>
      </w:r>
      <w:r w:rsidR="00E13080">
        <w:rPr>
          <w:szCs w:val="20"/>
        </w:rPr>
        <w:t>.</w:t>
      </w:r>
      <w:r w:rsidRPr="004A6A96">
        <w:rPr>
          <w:szCs w:val="20"/>
        </w:rPr>
        <w:t xml:space="preserve"> </w:t>
      </w:r>
    </w:p>
    <w:p w:rsidR="00E130BC" w:rsidRDefault="004A6A96" w:rsidP="00E130BC">
      <w:pPr>
        <w:pStyle w:val="AHPRAbodyContextparanumbered"/>
        <w:spacing w:after="0"/>
        <w:ind w:left="0" w:hanging="425"/>
        <w:rPr>
          <w:szCs w:val="20"/>
        </w:rPr>
      </w:pPr>
      <w:r>
        <w:rPr>
          <w:szCs w:val="20"/>
        </w:rPr>
        <w:t>The Board does</w:t>
      </w:r>
      <w:r w:rsidR="00E13080">
        <w:rPr>
          <w:szCs w:val="20"/>
        </w:rPr>
        <w:t xml:space="preserve"> consider,</w:t>
      </w:r>
      <w:r>
        <w:rPr>
          <w:szCs w:val="20"/>
        </w:rPr>
        <w:t xml:space="preserve"> however</w:t>
      </w:r>
      <w:r w:rsidR="00E13080">
        <w:rPr>
          <w:szCs w:val="20"/>
        </w:rPr>
        <w:t>,</w:t>
      </w:r>
      <w:r>
        <w:rPr>
          <w:szCs w:val="20"/>
        </w:rPr>
        <w:t xml:space="preserve"> that </w:t>
      </w:r>
      <w:r w:rsidR="005769C0">
        <w:rPr>
          <w:szCs w:val="20"/>
        </w:rPr>
        <w:t xml:space="preserve">guidelines provide a </w:t>
      </w:r>
      <w:r>
        <w:rPr>
          <w:szCs w:val="20"/>
        </w:rPr>
        <w:t>substantial benefit to individual practitioners who are required to sit an examination</w:t>
      </w:r>
      <w:r w:rsidR="005769C0">
        <w:rPr>
          <w:szCs w:val="20"/>
        </w:rPr>
        <w:t>.</w:t>
      </w:r>
    </w:p>
    <w:p w:rsidR="008144C6" w:rsidRPr="005B754A" w:rsidRDefault="00A86890" w:rsidP="005B754A">
      <w:pPr>
        <w:pStyle w:val="AHPRASubheadinglevel2"/>
        <w:spacing w:before="360" w:after="120"/>
        <w:rPr>
          <w:rFonts w:eastAsiaTheme="minorHAnsi" w:cs="Arial"/>
          <w:bCs/>
          <w:color w:val="007DC3"/>
          <w:szCs w:val="20"/>
          <w:lang w:val="en-AU" w:eastAsia="en-AU"/>
        </w:rPr>
      </w:pPr>
      <w:bookmarkStart w:id="22" w:name="_Toc426364372"/>
      <w:r>
        <w:rPr>
          <w:rFonts w:eastAsiaTheme="minorHAnsi" w:cs="Arial"/>
          <w:bCs/>
          <w:color w:val="007DC3"/>
          <w:szCs w:val="20"/>
          <w:lang w:val="en-AU" w:eastAsia="en-AU"/>
        </w:rPr>
        <w:t>Analysis of options</w:t>
      </w:r>
      <w:bookmarkEnd w:id="22"/>
    </w:p>
    <w:p w:rsidR="008144C6" w:rsidRPr="00E53EAF" w:rsidRDefault="008144C6" w:rsidP="008144C6">
      <w:pPr>
        <w:pStyle w:val="Default"/>
        <w:spacing w:before="200" w:after="120"/>
        <w:rPr>
          <w:b/>
          <w:bCs/>
          <w:sz w:val="20"/>
          <w:szCs w:val="20"/>
        </w:rPr>
      </w:pPr>
      <w:r w:rsidRPr="00E53EAF">
        <w:rPr>
          <w:b/>
          <w:bCs/>
          <w:sz w:val="20"/>
          <w:szCs w:val="20"/>
        </w:rPr>
        <w:t xml:space="preserve">Potential benefits and costs of the proposal </w:t>
      </w:r>
    </w:p>
    <w:p w:rsidR="008144C6" w:rsidRPr="00E53EAF" w:rsidRDefault="008144C6" w:rsidP="005769C0">
      <w:pPr>
        <w:pStyle w:val="AHPRAbodyContextparanumbered"/>
        <w:ind w:left="0" w:hanging="425"/>
        <w:rPr>
          <w:szCs w:val="20"/>
        </w:rPr>
      </w:pPr>
      <w:r w:rsidRPr="00E53EAF">
        <w:rPr>
          <w:szCs w:val="20"/>
        </w:rPr>
        <w:t>The benefits of the preferred option are that</w:t>
      </w:r>
      <w:r w:rsidR="00E13080">
        <w:rPr>
          <w:szCs w:val="20"/>
        </w:rPr>
        <w:t xml:space="preserve"> it:</w:t>
      </w:r>
      <w:r w:rsidRPr="00E53EAF">
        <w:rPr>
          <w:szCs w:val="20"/>
        </w:rPr>
        <w:t xml:space="preserve"> </w:t>
      </w:r>
    </w:p>
    <w:p w:rsidR="007E7D2E" w:rsidRDefault="002034F4" w:rsidP="009D19A9">
      <w:pPr>
        <w:pStyle w:val="Default"/>
        <w:numPr>
          <w:ilvl w:val="0"/>
          <w:numId w:val="1"/>
        </w:numPr>
        <w:spacing w:before="200" w:after="120"/>
        <w:rPr>
          <w:sz w:val="20"/>
          <w:szCs w:val="20"/>
        </w:rPr>
      </w:pPr>
      <w:r>
        <w:rPr>
          <w:sz w:val="20"/>
          <w:szCs w:val="20"/>
        </w:rPr>
        <w:t>provides clarity for prac</w:t>
      </w:r>
      <w:r w:rsidR="00EB019D">
        <w:rPr>
          <w:sz w:val="20"/>
          <w:szCs w:val="20"/>
        </w:rPr>
        <w:t>titioners who are required to s</w:t>
      </w:r>
      <w:r>
        <w:rPr>
          <w:sz w:val="20"/>
          <w:szCs w:val="20"/>
        </w:rPr>
        <w:t>it an examination</w:t>
      </w:r>
    </w:p>
    <w:p w:rsidR="002034F4" w:rsidRPr="00E53EAF" w:rsidRDefault="002034F4" w:rsidP="009D19A9">
      <w:pPr>
        <w:pStyle w:val="Default"/>
        <w:numPr>
          <w:ilvl w:val="0"/>
          <w:numId w:val="1"/>
        </w:numPr>
        <w:spacing w:before="200" w:after="120"/>
        <w:rPr>
          <w:sz w:val="20"/>
          <w:szCs w:val="20"/>
        </w:rPr>
      </w:pPr>
      <w:r>
        <w:rPr>
          <w:sz w:val="20"/>
          <w:szCs w:val="20"/>
        </w:rPr>
        <w:t xml:space="preserve">works from a single minimum benchmark </w:t>
      </w:r>
      <w:r w:rsidR="00AA4E3B">
        <w:rPr>
          <w:sz w:val="20"/>
          <w:szCs w:val="20"/>
        </w:rPr>
        <w:t>for general registration</w:t>
      </w:r>
    </w:p>
    <w:p w:rsidR="007E7D2E" w:rsidRDefault="007E7D2E" w:rsidP="009D19A9">
      <w:pPr>
        <w:pStyle w:val="Default"/>
        <w:numPr>
          <w:ilvl w:val="0"/>
          <w:numId w:val="1"/>
        </w:numPr>
        <w:spacing w:before="200" w:after="120"/>
        <w:rPr>
          <w:sz w:val="20"/>
          <w:szCs w:val="20"/>
        </w:rPr>
      </w:pPr>
      <w:r w:rsidRPr="00E53EAF">
        <w:rPr>
          <w:sz w:val="20"/>
          <w:szCs w:val="20"/>
        </w:rPr>
        <w:t>ensures practitioners possess a threshold level of knowledge, skills and professional attributes regardless of the pathway to registration</w:t>
      </w:r>
      <w:r w:rsidR="00E13080">
        <w:rPr>
          <w:sz w:val="20"/>
          <w:szCs w:val="20"/>
        </w:rPr>
        <w:t>, and</w:t>
      </w:r>
    </w:p>
    <w:p w:rsidR="004172D0" w:rsidRPr="004172D0" w:rsidRDefault="00F26727" w:rsidP="009D19A9">
      <w:pPr>
        <w:pStyle w:val="Default"/>
        <w:numPr>
          <w:ilvl w:val="0"/>
          <w:numId w:val="1"/>
        </w:numPr>
        <w:spacing w:before="200" w:after="120"/>
        <w:rPr>
          <w:sz w:val="20"/>
          <w:szCs w:val="20"/>
        </w:rPr>
      </w:pPr>
      <w:r>
        <w:rPr>
          <w:sz w:val="20"/>
          <w:szCs w:val="20"/>
        </w:rPr>
        <w:t>provides clarity about how the results impact on decisions relating to a practitioner</w:t>
      </w:r>
      <w:r w:rsidR="00E13080">
        <w:rPr>
          <w:sz w:val="20"/>
          <w:szCs w:val="20"/>
        </w:rPr>
        <w:t>’</w:t>
      </w:r>
      <w:r>
        <w:rPr>
          <w:sz w:val="20"/>
          <w:szCs w:val="20"/>
        </w:rPr>
        <w:t>s registration or renewal of registration.</w:t>
      </w:r>
    </w:p>
    <w:p w:rsidR="00F26727" w:rsidRDefault="008144C6" w:rsidP="005769C0">
      <w:pPr>
        <w:pStyle w:val="AHPRAbodyContextparanumbered"/>
        <w:ind w:left="0" w:hanging="425"/>
        <w:rPr>
          <w:szCs w:val="20"/>
        </w:rPr>
      </w:pPr>
      <w:r w:rsidRPr="00E53EAF">
        <w:rPr>
          <w:szCs w:val="20"/>
        </w:rPr>
        <w:t xml:space="preserve">The costs of the preferred option </w:t>
      </w:r>
      <w:r w:rsidR="002034F4">
        <w:rPr>
          <w:szCs w:val="20"/>
        </w:rPr>
        <w:t>are</w:t>
      </w:r>
      <w:r w:rsidRPr="00E53EAF">
        <w:rPr>
          <w:szCs w:val="20"/>
        </w:rPr>
        <w:t>:</w:t>
      </w:r>
    </w:p>
    <w:p w:rsidR="00872E9A" w:rsidRPr="00E53EAF" w:rsidRDefault="00E13080" w:rsidP="009D19A9">
      <w:pPr>
        <w:pStyle w:val="Default"/>
        <w:numPr>
          <w:ilvl w:val="0"/>
          <w:numId w:val="1"/>
        </w:numPr>
        <w:spacing w:before="200" w:after="120"/>
        <w:rPr>
          <w:sz w:val="20"/>
          <w:szCs w:val="20"/>
        </w:rPr>
      </w:pPr>
      <w:r>
        <w:rPr>
          <w:sz w:val="20"/>
          <w:szCs w:val="20"/>
        </w:rPr>
        <w:t>T</w:t>
      </w:r>
      <w:r w:rsidR="006A1430" w:rsidRPr="00E53EAF">
        <w:rPr>
          <w:sz w:val="20"/>
          <w:szCs w:val="20"/>
        </w:rPr>
        <w:t>here will be an additional cost to the applicant to sit the exami</w:t>
      </w:r>
      <w:r w:rsidR="00D9378C">
        <w:rPr>
          <w:sz w:val="20"/>
          <w:szCs w:val="20"/>
        </w:rPr>
        <w:t>nation</w:t>
      </w:r>
      <w:r w:rsidR="002034F4" w:rsidRPr="002034F4">
        <w:rPr>
          <w:sz w:val="20"/>
          <w:szCs w:val="20"/>
        </w:rPr>
        <w:t xml:space="preserve"> </w:t>
      </w:r>
      <w:r w:rsidR="002034F4">
        <w:rPr>
          <w:sz w:val="20"/>
          <w:szCs w:val="20"/>
        </w:rPr>
        <w:t>over and above the</w:t>
      </w:r>
      <w:r w:rsidR="002034F4" w:rsidRPr="00E53EAF">
        <w:rPr>
          <w:sz w:val="20"/>
          <w:szCs w:val="20"/>
        </w:rPr>
        <w:t xml:space="preserve"> usual costs relating to an application for registration in Australia</w:t>
      </w:r>
      <w:r>
        <w:rPr>
          <w:sz w:val="20"/>
          <w:szCs w:val="20"/>
        </w:rPr>
        <w:t>.</w:t>
      </w:r>
    </w:p>
    <w:p w:rsidR="002034F4" w:rsidRDefault="00E13080" w:rsidP="009D19A9">
      <w:pPr>
        <w:pStyle w:val="Default"/>
        <w:numPr>
          <w:ilvl w:val="0"/>
          <w:numId w:val="1"/>
        </w:numPr>
        <w:spacing w:before="200" w:after="120"/>
        <w:rPr>
          <w:sz w:val="20"/>
          <w:szCs w:val="20"/>
        </w:rPr>
      </w:pPr>
      <w:r>
        <w:rPr>
          <w:sz w:val="20"/>
          <w:szCs w:val="20"/>
        </w:rPr>
        <w:t>T</w:t>
      </w:r>
      <w:r w:rsidR="002034F4">
        <w:rPr>
          <w:sz w:val="20"/>
          <w:szCs w:val="20"/>
        </w:rPr>
        <w:t>he costs of developing an examination are significant. The Board will subsidise a</w:t>
      </w:r>
      <w:r>
        <w:rPr>
          <w:sz w:val="20"/>
          <w:szCs w:val="20"/>
        </w:rPr>
        <w:t xml:space="preserve">bout </w:t>
      </w:r>
      <w:r w:rsidR="002034F4">
        <w:rPr>
          <w:sz w:val="20"/>
          <w:szCs w:val="20"/>
        </w:rPr>
        <w:t>two thirds of the costs of the exam. Those required to sit the exam will pay a fee that represents a</w:t>
      </w:r>
      <w:r>
        <w:rPr>
          <w:sz w:val="20"/>
          <w:szCs w:val="20"/>
        </w:rPr>
        <w:t>bout</w:t>
      </w:r>
      <w:r w:rsidR="002034F4">
        <w:rPr>
          <w:sz w:val="20"/>
          <w:szCs w:val="20"/>
        </w:rPr>
        <w:t xml:space="preserve"> one third of the examination costs. This will translate to a fee of between $500 and $700.</w:t>
      </w:r>
    </w:p>
    <w:p w:rsidR="004172D0" w:rsidRDefault="002034F4" w:rsidP="009D19A9">
      <w:pPr>
        <w:pStyle w:val="Default"/>
        <w:numPr>
          <w:ilvl w:val="0"/>
          <w:numId w:val="1"/>
        </w:numPr>
        <w:spacing w:before="200" w:after="120"/>
        <w:rPr>
          <w:sz w:val="20"/>
          <w:szCs w:val="20"/>
        </w:rPr>
      </w:pPr>
      <w:r>
        <w:rPr>
          <w:sz w:val="20"/>
          <w:szCs w:val="20"/>
        </w:rPr>
        <w:t>The costs of the examination include the infrastructure costs, service provisioning costs and question development costs</w:t>
      </w:r>
      <w:r w:rsidR="00E13080">
        <w:rPr>
          <w:sz w:val="20"/>
          <w:szCs w:val="20"/>
        </w:rPr>
        <w:t>.</w:t>
      </w:r>
      <w:r>
        <w:rPr>
          <w:sz w:val="20"/>
          <w:szCs w:val="20"/>
        </w:rPr>
        <w:t xml:space="preserve"> </w:t>
      </w:r>
      <w:bookmarkStart w:id="23" w:name="_Toc320239873"/>
    </w:p>
    <w:p w:rsidR="008144C6" w:rsidRPr="00011B9C" w:rsidRDefault="00011B9C" w:rsidP="00011B9C">
      <w:pPr>
        <w:pStyle w:val="Default"/>
        <w:spacing w:before="200" w:after="120"/>
        <w:rPr>
          <w:rFonts w:eastAsia="Times New Roman"/>
          <w:b/>
          <w:color w:val="007DC3"/>
          <w:sz w:val="20"/>
          <w:szCs w:val="20"/>
        </w:rPr>
      </w:pPr>
      <w:r>
        <w:rPr>
          <w:rFonts w:eastAsia="Times New Roman"/>
          <w:b/>
          <w:color w:val="007DC3"/>
          <w:sz w:val="20"/>
          <w:szCs w:val="20"/>
        </w:rPr>
        <w:t xml:space="preserve">Relevant sections of </w:t>
      </w:r>
      <w:bookmarkEnd w:id="23"/>
      <w:r>
        <w:rPr>
          <w:rFonts w:eastAsia="Times New Roman"/>
          <w:b/>
          <w:color w:val="007DC3"/>
          <w:sz w:val="20"/>
          <w:szCs w:val="20"/>
        </w:rPr>
        <w:t>the National Law</w:t>
      </w:r>
    </w:p>
    <w:p w:rsidR="00F53F74" w:rsidRPr="00E53EAF" w:rsidRDefault="00F53F74" w:rsidP="00D04F03">
      <w:pPr>
        <w:widowControl w:val="0"/>
        <w:autoSpaceDE w:val="0"/>
        <w:autoSpaceDN w:val="0"/>
        <w:adjustRightInd w:val="0"/>
        <w:spacing w:after="120" w:line="240" w:lineRule="auto"/>
        <w:rPr>
          <w:rFonts w:ascii="Arial" w:hAnsi="Arial" w:cs="Arial"/>
          <w:sz w:val="20"/>
          <w:szCs w:val="20"/>
        </w:rPr>
      </w:pPr>
      <w:r w:rsidRPr="00E53EAF">
        <w:rPr>
          <w:rFonts w:ascii="Arial" w:hAnsi="Arial" w:cs="Arial"/>
          <w:sz w:val="20"/>
          <w:szCs w:val="20"/>
        </w:rPr>
        <w:t xml:space="preserve">Section </w:t>
      </w:r>
      <w:r w:rsidR="001D522A" w:rsidRPr="00E53EAF">
        <w:rPr>
          <w:rFonts w:ascii="Arial" w:hAnsi="Arial" w:cs="Arial"/>
          <w:sz w:val="20"/>
          <w:szCs w:val="20"/>
        </w:rPr>
        <w:t>3</w:t>
      </w:r>
    </w:p>
    <w:p w:rsidR="008144C6" w:rsidRPr="00E53EAF" w:rsidRDefault="009C49A8" w:rsidP="00D04F03">
      <w:pPr>
        <w:widowControl w:val="0"/>
        <w:autoSpaceDE w:val="0"/>
        <w:autoSpaceDN w:val="0"/>
        <w:adjustRightInd w:val="0"/>
        <w:spacing w:after="120" w:line="240" w:lineRule="auto"/>
        <w:rPr>
          <w:rFonts w:ascii="Arial" w:hAnsi="Arial" w:cs="Arial"/>
          <w:sz w:val="20"/>
          <w:szCs w:val="20"/>
        </w:rPr>
      </w:pPr>
      <w:r w:rsidRPr="00E53EAF">
        <w:rPr>
          <w:rFonts w:ascii="Arial" w:hAnsi="Arial" w:cs="Arial"/>
          <w:sz w:val="20"/>
          <w:szCs w:val="20"/>
        </w:rPr>
        <w:t>Section 49</w:t>
      </w:r>
    </w:p>
    <w:p w:rsidR="008144C6" w:rsidRPr="00E53EAF" w:rsidRDefault="009C49A8" w:rsidP="00D04F03">
      <w:pPr>
        <w:widowControl w:val="0"/>
        <w:autoSpaceDE w:val="0"/>
        <w:autoSpaceDN w:val="0"/>
        <w:adjustRightInd w:val="0"/>
        <w:spacing w:after="120" w:line="240" w:lineRule="auto"/>
        <w:rPr>
          <w:rFonts w:ascii="Arial" w:hAnsi="Arial" w:cs="Arial"/>
          <w:sz w:val="20"/>
          <w:szCs w:val="20"/>
        </w:rPr>
      </w:pPr>
      <w:r w:rsidRPr="00E53EAF">
        <w:rPr>
          <w:rFonts w:ascii="Arial" w:hAnsi="Arial" w:cs="Arial"/>
          <w:sz w:val="20"/>
          <w:szCs w:val="20"/>
        </w:rPr>
        <w:t>Section 52</w:t>
      </w:r>
    </w:p>
    <w:p w:rsidR="008144C6" w:rsidRPr="00E53EAF" w:rsidRDefault="009C49A8" w:rsidP="00D04F03">
      <w:pPr>
        <w:widowControl w:val="0"/>
        <w:autoSpaceDE w:val="0"/>
        <w:autoSpaceDN w:val="0"/>
        <w:adjustRightInd w:val="0"/>
        <w:spacing w:after="120" w:line="240" w:lineRule="auto"/>
        <w:rPr>
          <w:rFonts w:ascii="Arial" w:hAnsi="Arial" w:cs="Arial"/>
          <w:sz w:val="20"/>
          <w:szCs w:val="20"/>
        </w:rPr>
      </w:pPr>
      <w:r w:rsidRPr="00E53EAF">
        <w:rPr>
          <w:rFonts w:ascii="Arial" w:hAnsi="Arial" w:cs="Arial"/>
          <w:sz w:val="20"/>
          <w:szCs w:val="20"/>
        </w:rPr>
        <w:t>Section 53</w:t>
      </w:r>
    </w:p>
    <w:p w:rsidR="00763C3A" w:rsidRPr="00E53EAF" w:rsidRDefault="00763C3A" w:rsidP="00D04F03">
      <w:pPr>
        <w:widowControl w:val="0"/>
        <w:autoSpaceDE w:val="0"/>
        <w:autoSpaceDN w:val="0"/>
        <w:adjustRightInd w:val="0"/>
        <w:spacing w:after="120" w:line="240" w:lineRule="auto"/>
        <w:rPr>
          <w:rFonts w:ascii="Arial" w:hAnsi="Arial" w:cs="Arial"/>
          <w:sz w:val="20"/>
          <w:szCs w:val="20"/>
        </w:rPr>
      </w:pPr>
      <w:r w:rsidRPr="00E53EAF">
        <w:rPr>
          <w:rFonts w:ascii="Arial" w:hAnsi="Arial" w:cs="Arial"/>
          <w:sz w:val="20"/>
          <w:szCs w:val="20"/>
        </w:rPr>
        <w:lastRenderedPageBreak/>
        <w:t>Section 66</w:t>
      </w:r>
    </w:p>
    <w:p w:rsidR="0078355A" w:rsidRPr="00D04F03" w:rsidRDefault="00763C3A" w:rsidP="00D04F03">
      <w:pPr>
        <w:widowControl w:val="0"/>
        <w:autoSpaceDE w:val="0"/>
        <w:autoSpaceDN w:val="0"/>
        <w:adjustRightInd w:val="0"/>
        <w:spacing w:after="120" w:line="240" w:lineRule="auto"/>
        <w:rPr>
          <w:rFonts w:ascii="Arial" w:hAnsi="Arial" w:cs="Arial"/>
          <w:sz w:val="20"/>
          <w:szCs w:val="20"/>
        </w:rPr>
      </w:pPr>
      <w:r w:rsidRPr="00E53EAF">
        <w:rPr>
          <w:rFonts w:ascii="Arial" w:hAnsi="Arial" w:cs="Arial"/>
          <w:sz w:val="20"/>
          <w:szCs w:val="20"/>
        </w:rPr>
        <w:t>Section 72</w:t>
      </w:r>
    </w:p>
    <w:p w:rsidR="008144C6" w:rsidRPr="00011B9C" w:rsidRDefault="00A7318C" w:rsidP="00A7318C">
      <w:pPr>
        <w:pStyle w:val="Default"/>
        <w:spacing w:before="360" w:after="120"/>
        <w:rPr>
          <w:rFonts w:eastAsia="Times New Roman"/>
          <w:b/>
          <w:color w:val="auto"/>
          <w:sz w:val="20"/>
          <w:szCs w:val="20"/>
        </w:rPr>
      </w:pPr>
      <w:r w:rsidRPr="00011B9C">
        <w:rPr>
          <w:rFonts w:eastAsia="Times New Roman"/>
          <w:b/>
          <w:color w:val="auto"/>
          <w:sz w:val="20"/>
          <w:szCs w:val="20"/>
        </w:rPr>
        <w:t xml:space="preserve">Health Practitioner Regulation National Law (as in force in each </w:t>
      </w:r>
      <w:r w:rsidR="00BC20F4" w:rsidRPr="00011B9C">
        <w:rPr>
          <w:rFonts w:eastAsia="Times New Roman"/>
          <w:b/>
          <w:color w:val="auto"/>
          <w:sz w:val="20"/>
          <w:szCs w:val="20"/>
        </w:rPr>
        <w:t>s</w:t>
      </w:r>
      <w:r w:rsidRPr="00011B9C">
        <w:rPr>
          <w:rFonts w:eastAsia="Times New Roman"/>
          <w:b/>
          <w:color w:val="auto"/>
          <w:sz w:val="20"/>
          <w:szCs w:val="20"/>
        </w:rPr>
        <w:t xml:space="preserve">tate and </w:t>
      </w:r>
      <w:r w:rsidR="00BC20F4" w:rsidRPr="00011B9C">
        <w:rPr>
          <w:rFonts w:eastAsia="Times New Roman"/>
          <w:b/>
          <w:color w:val="auto"/>
          <w:sz w:val="20"/>
          <w:szCs w:val="20"/>
        </w:rPr>
        <w:t>t</w:t>
      </w:r>
      <w:r w:rsidRPr="00011B9C">
        <w:rPr>
          <w:rFonts w:eastAsia="Times New Roman"/>
          <w:b/>
          <w:color w:val="auto"/>
          <w:sz w:val="20"/>
          <w:szCs w:val="20"/>
        </w:rPr>
        <w:t>erritory)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0" w:type="dxa"/>
          <w:right w:w="0" w:type="dxa"/>
        </w:tblCellMar>
        <w:tblLook w:val="04A0" w:firstRow="1" w:lastRow="0" w:firstColumn="1" w:lastColumn="0" w:noHBand="0" w:noVBand="1"/>
      </w:tblPr>
      <w:tblGrid>
        <w:gridCol w:w="2610"/>
        <w:gridCol w:w="6596"/>
      </w:tblGrid>
      <w:tr w:rsidR="00A7318C" w:rsidRPr="00E53EAF" w:rsidTr="00A7318C">
        <w:trPr>
          <w:trHeight w:val="698"/>
        </w:trPr>
        <w:tc>
          <w:tcPr>
            <w:tcW w:w="0" w:type="auto"/>
            <w:shd w:val="clear" w:color="auto" w:fill="D9D9D9" w:themeFill="background1" w:themeFillShade="D9"/>
            <w:tcMar>
              <w:top w:w="90" w:type="dxa"/>
              <w:left w:w="90" w:type="dxa"/>
              <w:bottom w:w="90" w:type="dxa"/>
              <w:right w:w="90" w:type="dxa"/>
            </w:tcMar>
            <w:hideMark/>
          </w:tcPr>
          <w:p w:rsidR="00A7318C" w:rsidRPr="003767FF" w:rsidRDefault="00E130BC" w:rsidP="00A7318C">
            <w:pPr>
              <w:spacing w:before="120" w:after="120"/>
              <w:rPr>
                <w:rFonts w:ascii="Arial" w:hAnsi="Arial" w:cs="Arial"/>
                <w:sz w:val="20"/>
                <w:szCs w:val="20"/>
              </w:rPr>
            </w:pPr>
            <w:r w:rsidRPr="00E130BC">
              <w:rPr>
                <w:rFonts w:ascii="Arial" w:hAnsi="Arial" w:cs="Arial"/>
                <w:sz w:val="20"/>
                <w:szCs w:val="20"/>
              </w:rPr>
              <w:t>Queensland</w:t>
            </w:r>
          </w:p>
        </w:tc>
        <w:tc>
          <w:tcPr>
            <w:tcW w:w="0" w:type="auto"/>
            <w:shd w:val="clear" w:color="auto" w:fill="D9D9D9" w:themeFill="background1" w:themeFillShade="D9"/>
            <w:tcMar>
              <w:top w:w="90" w:type="dxa"/>
              <w:left w:w="90" w:type="dxa"/>
              <w:bottom w:w="90" w:type="dxa"/>
              <w:right w:w="90" w:type="dxa"/>
            </w:tcMar>
            <w:hideMark/>
          </w:tcPr>
          <w:p w:rsidR="00A7318C" w:rsidRPr="004A5695" w:rsidRDefault="0022351C" w:rsidP="00A7318C">
            <w:pPr>
              <w:spacing w:before="120" w:after="120"/>
              <w:rPr>
                <w:rFonts w:ascii="Arial" w:hAnsi="Arial" w:cs="Arial"/>
                <w:color w:val="444444"/>
                <w:sz w:val="20"/>
                <w:szCs w:val="20"/>
              </w:rPr>
            </w:pPr>
            <w:hyperlink r:id="rId17" w:tgtFrame="_blank" w:history="1">
              <w:r w:rsidR="00E130BC" w:rsidRPr="004A5695">
                <w:rPr>
                  <w:rStyle w:val="Hyperlink"/>
                  <w:rFonts w:ascii="Arial" w:hAnsi="Arial" w:cs="Arial"/>
                  <w:color w:val="0000FF"/>
                  <w:sz w:val="20"/>
                  <w:szCs w:val="20"/>
                </w:rPr>
                <w:t>Health Practitioner Regulation National Law Act 2009</w:t>
              </w:r>
            </w:hyperlink>
            <w:r w:rsidR="00E130BC" w:rsidRPr="004A5695">
              <w:rPr>
                <w:rFonts w:ascii="Arial" w:hAnsi="Arial" w:cs="Arial"/>
                <w:color w:val="0000FF"/>
                <w:sz w:val="20"/>
                <w:szCs w:val="20"/>
              </w:rPr>
              <w:t xml:space="preserve"> </w:t>
            </w:r>
            <w:r w:rsidR="00A7318C" w:rsidRPr="004A5695">
              <w:rPr>
                <w:rFonts w:ascii="Arial" w:hAnsi="Arial" w:cs="Arial"/>
                <w:color w:val="444444"/>
                <w:sz w:val="20"/>
                <w:szCs w:val="20"/>
              </w:rPr>
              <w:br/>
            </w:r>
            <w:r w:rsidR="00E130BC" w:rsidRPr="004A5695">
              <w:rPr>
                <w:rStyle w:val="Hyperlink"/>
                <w:rFonts w:ascii="Arial" w:hAnsi="Arial" w:cs="Arial"/>
                <w:color w:val="0000FF"/>
                <w:sz w:val="20"/>
                <w:szCs w:val="20"/>
              </w:rPr>
              <w:t>From 1 July 2014:</w:t>
            </w:r>
            <w:r w:rsidR="00A7318C" w:rsidRPr="004A5695">
              <w:rPr>
                <w:rFonts w:ascii="Arial" w:hAnsi="Arial" w:cs="Arial"/>
                <w:color w:val="444444"/>
                <w:sz w:val="20"/>
                <w:szCs w:val="20"/>
              </w:rPr>
              <w:t xml:space="preserve"> </w:t>
            </w:r>
            <w:hyperlink r:id="rId18" w:history="1">
              <w:r w:rsidR="00E130BC" w:rsidRPr="004A5695">
                <w:rPr>
                  <w:rStyle w:val="Hyperlink"/>
                  <w:rFonts w:ascii="Arial" w:hAnsi="Arial" w:cs="Arial"/>
                  <w:color w:val="0000FF"/>
                  <w:sz w:val="20"/>
                  <w:szCs w:val="20"/>
                </w:rPr>
                <w:t>Ombudsman Act 2013</w:t>
              </w:r>
            </w:hyperlink>
          </w:p>
        </w:tc>
      </w:tr>
      <w:tr w:rsidR="00A7318C" w:rsidRPr="00E53EAF" w:rsidTr="00A7318C">
        <w:tc>
          <w:tcPr>
            <w:tcW w:w="0" w:type="auto"/>
            <w:shd w:val="clear" w:color="auto" w:fill="D9D9D9" w:themeFill="background1" w:themeFillShade="D9"/>
            <w:tcMar>
              <w:top w:w="90" w:type="dxa"/>
              <w:left w:w="90" w:type="dxa"/>
              <w:bottom w:w="90" w:type="dxa"/>
              <w:right w:w="90" w:type="dxa"/>
            </w:tcMar>
            <w:hideMark/>
          </w:tcPr>
          <w:p w:rsidR="00A7318C" w:rsidRPr="003767FF" w:rsidRDefault="00E130BC" w:rsidP="00A7318C">
            <w:pPr>
              <w:spacing w:before="120" w:after="120"/>
              <w:rPr>
                <w:rFonts w:ascii="Arial" w:hAnsi="Arial" w:cs="Arial"/>
                <w:sz w:val="20"/>
                <w:szCs w:val="20"/>
              </w:rPr>
            </w:pPr>
            <w:r w:rsidRPr="004A5695">
              <w:rPr>
                <w:rFonts w:ascii="Arial" w:hAnsi="Arial" w:cs="Arial"/>
                <w:sz w:val="20"/>
                <w:szCs w:val="20"/>
              </w:rPr>
              <w:t xml:space="preserve">New South Wales </w:t>
            </w:r>
          </w:p>
        </w:tc>
        <w:tc>
          <w:tcPr>
            <w:tcW w:w="0" w:type="auto"/>
            <w:shd w:val="clear" w:color="auto" w:fill="D9D9D9" w:themeFill="background1" w:themeFillShade="D9"/>
            <w:tcMar>
              <w:top w:w="90" w:type="dxa"/>
              <w:left w:w="90" w:type="dxa"/>
              <w:bottom w:w="90" w:type="dxa"/>
              <w:right w:w="90" w:type="dxa"/>
            </w:tcMar>
            <w:hideMark/>
          </w:tcPr>
          <w:p w:rsidR="00A7318C" w:rsidRPr="003767FF" w:rsidRDefault="0022351C" w:rsidP="00A7318C">
            <w:pPr>
              <w:spacing w:before="120" w:after="120"/>
              <w:rPr>
                <w:rFonts w:ascii="Arial" w:hAnsi="Arial" w:cs="Arial"/>
                <w:color w:val="0000FF"/>
                <w:sz w:val="20"/>
                <w:szCs w:val="20"/>
              </w:rPr>
            </w:pPr>
            <w:hyperlink r:id="rId19" w:history="1">
              <w:r w:rsidR="00E130BC" w:rsidRPr="00E130BC">
                <w:rPr>
                  <w:rStyle w:val="Hyperlink"/>
                  <w:rFonts w:ascii="Arial" w:hAnsi="Arial" w:cs="Arial"/>
                  <w:color w:val="0000FF"/>
                  <w:sz w:val="20"/>
                  <w:szCs w:val="20"/>
                </w:rPr>
                <w:t>Health Practitioner Regulation National Law (NSW) No 86a</w:t>
              </w:r>
            </w:hyperlink>
          </w:p>
        </w:tc>
      </w:tr>
      <w:tr w:rsidR="00A7318C" w:rsidRPr="00E53EAF" w:rsidTr="00A7318C">
        <w:tc>
          <w:tcPr>
            <w:tcW w:w="0" w:type="auto"/>
            <w:shd w:val="clear" w:color="auto" w:fill="D9D9D9" w:themeFill="background1" w:themeFillShade="D9"/>
            <w:tcMar>
              <w:top w:w="90" w:type="dxa"/>
              <w:left w:w="90" w:type="dxa"/>
              <w:bottom w:w="90" w:type="dxa"/>
              <w:right w:w="90" w:type="dxa"/>
            </w:tcMar>
            <w:hideMark/>
          </w:tcPr>
          <w:p w:rsidR="00A7318C" w:rsidRPr="003767FF" w:rsidRDefault="00E130BC" w:rsidP="00A7318C">
            <w:pPr>
              <w:spacing w:before="120" w:after="120"/>
              <w:rPr>
                <w:rFonts w:ascii="Arial" w:hAnsi="Arial" w:cs="Arial"/>
                <w:sz w:val="20"/>
                <w:szCs w:val="20"/>
              </w:rPr>
            </w:pPr>
            <w:r w:rsidRPr="00E130BC">
              <w:rPr>
                <w:rFonts w:ascii="Arial" w:hAnsi="Arial" w:cs="Arial"/>
                <w:sz w:val="20"/>
                <w:szCs w:val="20"/>
              </w:rPr>
              <w:t>Victoria</w:t>
            </w:r>
          </w:p>
        </w:tc>
        <w:tc>
          <w:tcPr>
            <w:tcW w:w="0" w:type="auto"/>
            <w:shd w:val="clear" w:color="auto" w:fill="D9D9D9" w:themeFill="background1" w:themeFillShade="D9"/>
            <w:tcMar>
              <w:top w:w="90" w:type="dxa"/>
              <w:left w:w="90" w:type="dxa"/>
              <w:bottom w:w="90" w:type="dxa"/>
              <w:right w:w="90" w:type="dxa"/>
            </w:tcMar>
            <w:hideMark/>
          </w:tcPr>
          <w:p w:rsidR="00A7318C" w:rsidRPr="003767FF" w:rsidRDefault="0022351C" w:rsidP="00A7318C">
            <w:pPr>
              <w:spacing w:before="120" w:after="120"/>
              <w:rPr>
                <w:rFonts w:ascii="Arial" w:hAnsi="Arial" w:cs="Arial"/>
                <w:color w:val="0000FF"/>
                <w:sz w:val="20"/>
                <w:szCs w:val="20"/>
              </w:rPr>
            </w:pPr>
            <w:hyperlink r:id="rId20" w:tgtFrame="_blank" w:history="1">
              <w:r w:rsidR="00E130BC" w:rsidRPr="00E130BC">
                <w:rPr>
                  <w:rStyle w:val="Hyperlink"/>
                  <w:rFonts w:ascii="Arial" w:hAnsi="Arial" w:cs="Arial"/>
                  <w:color w:val="0000FF"/>
                  <w:sz w:val="20"/>
                  <w:szCs w:val="20"/>
                </w:rPr>
                <w:t xml:space="preserve">Health Practitioner Regulation National Law (Victoria) Act 2009 </w:t>
              </w:r>
            </w:hyperlink>
          </w:p>
        </w:tc>
      </w:tr>
      <w:tr w:rsidR="00A7318C" w:rsidRPr="00E53EAF" w:rsidTr="00A7318C">
        <w:tc>
          <w:tcPr>
            <w:tcW w:w="0" w:type="auto"/>
            <w:shd w:val="clear" w:color="auto" w:fill="D9D9D9" w:themeFill="background1" w:themeFillShade="D9"/>
            <w:tcMar>
              <w:top w:w="90" w:type="dxa"/>
              <w:left w:w="90" w:type="dxa"/>
              <w:bottom w:w="90" w:type="dxa"/>
              <w:right w:w="90" w:type="dxa"/>
            </w:tcMar>
            <w:hideMark/>
          </w:tcPr>
          <w:p w:rsidR="00A7318C" w:rsidRPr="003767FF" w:rsidRDefault="00E130BC" w:rsidP="00A7318C">
            <w:pPr>
              <w:spacing w:before="120" w:after="120"/>
              <w:rPr>
                <w:rFonts w:ascii="Arial" w:hAnsi="Arial" w:cs="Arial"/>
                <w:sz w:val="20"/>
                <w:szCs w:val="20"/>
              </w:rPr>
            </w:pPr>
            <w:r w:rsidRPr="00E130BC">
              <w:rPr>
                <w:rFonts w:ascii="Arial" w:hAnsi="Arial" w:cs="Arial"/>
                <w:sz w:val="20"/>
                <w:szCs w:val="20"/>
              </w:rPr>
              <w:t xml:space="preserve">Australian Capital Territory </w:t>
            </w:r>
          </w:p>
        </w:tc>
        <w:tc>
          <w:tcPr>
            <w:tcW w:w="0" w:type="auto"/>
            <w:shd w:val="clear" w:color="auto" w:fill="D9D9D9" w:themeFill="background1" w:themeFillShade="D9"/>
            <w:tcMar>
              <w:top w:w="90" w:type="dxa"/>
              <w:left w:w="90" w:type="dxa"/>
              <w:bottom w:w="90" w:type="dxa"/>
              <w:right w:w="90" w:type="dxa"/>
            </w:tcMar>
            <w:hideMark/>
          </w:tcPr>
          <w:p w:rsidR="00A7318C" w:rsidRPr="003767FF" w:rsidRDefault="0022351C" w:rsidP="00A7318C">
            <w:pPr>
              <w:spacing w:before="120" w:after="120"/>
              <w:rPr>
                <w:rFonts w:ascii="Arial" w:hAnsi="Arial" w:cs="Arial"/>
                <w:color w:val="0000FF"/>
                <w:sz w:val="20"/>
                <w:szCs w:val="20"/>
              </w:rPr>
            </w:pPr>
            <w:hyperlink r:id="rId21" w:tgtFrame="_blank" w:history="1">
              <w:r w:rsidR="00E130BC" w:rsidRPr="00E130BC">
                <w:rPr>
                  <w:rStyle w:val="Hyperlink"/>
                  <w:rFonts w:ascii="Arial" w:hAnsi="Arial" w:cs="Arial"/>
                  <w:color w:val="0000FF"/>
                  <w:sz w:val="20"/>
                  <w:szCs w:val="20"/>
                </w:rPr>
                <w:t xml:space="preserve">Health Practitioner Regulation National Law (ACT) Act 2010 </w:t>
              </w:r>
              <w:r w:rsidR="00E130BC" w:rsidRPr="00E130BC">
                <w:rPr>
                  <w:rFonts w:ascii="Arial" w:hAnsi="Arial" w:cs="Arial"/>
                  <w:color w:val="0000FF"/>
                  <w:sz w:val="20"/>
                  <w:szCs w:val="20"/>
                  <w:u w:val="single"/>
                </w:rPr>
                <w:br/>
              </w:r>
            </w:hyperlink>
          </w:p>
        </w:tc>
      </w:tr>
      <w:tr w:rsidR="00A7318C" w:rsidRPr="00E53EAF" w:rsidTr="00A7318C">
        <w:tc>
          <w:tcPr>
            <w:tcW w:w="0" w:type="auto"/>
            <w:shd w:val="clear" w:color="auto" w:fill="D9D9D9" w:themeFill="background1" w:themeFillShade="D9"/>
            <w:tcMar>
              <w:top w:w="90" w:type="dxa"/>
              <w:left w:w="90" w:type="dxa"/>
              <w:bottom w:w="90" w:type="dxa"/>
              <w:right w:w="90" w:type="dxa"/>
            </w:tcMar>
            <w:hideMark/>
          </w:tcPr>
          <w:p w:rsidR="00A7318C" w:rsidRPr="003767FF" w:rsidRDefault="00E130BC" w:rsidP="00A7318C">
            <w:pPr>
              <w:spacing w:before="120" w:after="120"/>
              <w:rPr>
                <w:rFonts w:ascii="Arial" w:hAnsi="Arial" w:cs="Arial"/>
                <w:sz w:val="20"/>
                <w:szCs w:val="20"/>
              </w:rPr>
            </w:pPr>
            <w:r w:rsidRPr="00E130BC">
              <w:rPr>
                <w:rFonts w:ascii="Arial" w:hAnsi="Arial" w:cs="Arial"/>
                <w:sz w:val="20"/>
                <w:szCs w:val="20"/>
              </w:rPr>
              <w:t xml:space="preserve">Northern Territory </w:t>
            </w:r>
          </w:p>
        </w:tc>
        <w:tc>
          <w:tcPr>
            <w:tcW w:w="0" w:type="auto"/>
            <w:shd w:val="clear" w:color="auto" w:fill="D9D9D9" w:themeFill="background1" w:themeFillShade="D9"/>
            <w:tcMar>
              <w:top w:w="90" w:type="dxa"/>
              <w:left w:w="90" w:type="dxa"/>
              <w:bottom w:w="90" w:type="dxa"/>
              <w:right w:w="90" w:type="dxa"/>
            </w:tcMar>
            <w:hideMark/>
          </w:tcPr>
          <w:p w:rsidR="00A7318C" w:rsidRPr="003767FF" w:rsidRDefault="0022351C" w:rsidP="00A7318C">
            <w:pPr>
              <w:spacing w:before="120" w:after="120"/>
              <w:rPr>
                <w:rFonts w:ascii="Arial" w:hAnsi="Arial" w:cs="Arial"/>
                <w:color w:val="0000FF"/>
                <w:sz w:val="20"/>
                <w:szCs w:val="20"/>
              </w:rPr>
            </w:pPr>
            <w:hyperlink r:id="rId22" w:history="1">
              <w:r w:rsidR="00E130BC" w:rsidRPr="00E130BC">
                <w:rPr>
                  <w:rStyle w:val="Hyperlink"/>
                  <w:rFonts w:ascii="Arial" w:hAnsi="Arial" w:cs="Arial"/>
                  <w:color w:val="0000FF"/>
                  <w:sz w:val="20"/>
                  <w:szCs w:val="20"/>
                </w:rPr>
                <w:t>Health Practitioner Regulation (National Uniform Legislation) Act 2010</w:t>
              </w:r>
            </w:hyperlink>
            <w:r w:rsidR="00E130BC" w:rsidRPr="00E130BC">
              <w:rPr>
                <w:rFonts w:ascii="Arial" w:hAnsi="Arial" w:cs="Arial"/>
                <w:color w:val="0000FF"/>
                <w:sz w:val="20"/>
                <w:szCs w:val="20"/>
              </w:rPr>
              <w:t xml:space="preserve"> </w:t>
            </w:r>
          </w:p>
        </w:tc>
      </w:tr>
      <w:tr w:rsidR="00A7318C" w:rsidRPr="00E53EAF" w:rsidTr="00A7318C">
        <w:tc>
          <w:tcPr>
            <w:tcW w:w="0" w:type="auto"/>
            <w:shd w:val="clear" w:color="auto" w:fill="D9D9D9" w:themeFill="background1" w:themeFillShade="D9"/>
            <w:tcMar>
              <w:top w:w="90" w:type="dxa"/>
              <w:left w:w="90" w:type="dxa"/>
              <w:bottom w:w="90" w:type="dxa"/>
              <w:right w:w="90" w:type="dxa"/>
            </w:tcMar>
            <w:hideMark/>
          </w:tcPr>
          <w:p w:rsidR="00A7318C" w:rsidRPr="003767FF" w:rsidRDefault="00E130BC" w:rsidP="00A7318C">
            <w:pPr>
              <w:spacing w:before="120" w:after="120"/>
              <w:rPr>
                <w:rFonts w:ascii="Arial" w:hAnsi="Arial" w:cs="Arial"/>
                <w:sz w:val="20"/>
                <w:szCs w:val="20"/>
              </w:rPr>
            </w:pPr>
            <w:r w:rsidRPr="00E130BC">
              <w:rPr>
                <w:rFonts w:ascii="Arial" w:hAnsi="Arial" w:cs="Arial"/>
                <w:sz w:val="20"/>
                <w:szCs w:val="20"/>
              </w:rPr>
              <w:t xml:space="preserve">Tasmania </w:t>
            </w:r>
          </w:p>
        </w:tc>
        <w:tc>
          <w:tcPr>
            <w:tcW w:w="0" w:type="auto"/>
            <w:shd w:val="clear" w:color="auto" w:fill="D9D9D9" w:themeFill="background1" w:themeFillShade="D9"/>
            <w:tcMar>
              <w:top w:w="90" w:type="dxa"/>
              <w:left w:w="90" w:type="dxa"/>
              <w:bottom w:w="90" w:type="dxa"/>
              <w:right w:w="90" w:type="dxa"/>
            </w:tcMar>
            <w:hideMark/>
          </w:tcPr>
          <w:p w:rsidR="00A7318C" w:rsidRPr="003767FF" w:rsidRDefault="0022351C" w:rsidP="00A7318C">
            <w:pPr>
              <w:spacing w:before="120" w:after="120"/>
              <w:rPr>
                <w:rFonts w:ascii="Arial" w:hAnsi="Arial" w:cs="Arial"/>
                <w:color w:val="0000FF"/>
                <w:sz w:val="20"/>
                <w:szCs w:val="20"/>
              </w:rPr>
            </w:pPr>
            <w:hyperlink r:id="rId23" w:tgtFrame="_blank" w:history="1">
              <w:r w:rsidR="00E130BC" w:rsidRPr="00E130BC">
                <w:rPr>
                  <w:rStyle w:val="Hyperlink"/>
                  <w:rFonts w:ascii="Arial" w:hAnsi="Arial" w:cs="Arial"/>
                  <w:color w:val="0000FF"/>
                  <w:sz w:val="20"/>
                  <w:szCs w:val="20"/>
                </w:rPr>
                <w:t xml:space="preserve">Health Practitioner Regulation National Law (Tasmania) Act 2010 </w:t>
              </w:r>
            </w:hyperlink>
          </w:p>
        </w:tc>
      </w:tr>
      <w:tr w:rsidR="00A7318C" w:rsidRPr="00E53EAF" w:rsidTr="00A7318C">
        <w:tc>
          <w:tcPr>
            <w:tcW w:w="0" w:type="auto"/>
            <w:shd w:val="clear" w:color="auto" w:fill="D9D9D9" w:themeFill="background1" w:themeFillShade="D9"/>
            <w:tcMar>
              <w:top w:w="90" w:type="dxa"/>
              <w:left w:w="90" w:type="dxa"/>
              <w:bottom w:w="90" w:type="dxa"/>
              <w:right w:w="90" w:type="dxa"/>
            </w:tcMar>
            <w:hideMark/>
          </w:tcPr>
          <w:p w:rsidR="00A7318C" w:rsidRPr="003767FF" w:rsidRDefault="00E130BC" w:rsidP="00A7318C">
            <w:pPr>
              <w:spacing w:before="120" w:after="120"/>
              <w:rPr>
                <w:rFonts w:ascii="Arial" w:hAnsi="Arial" w:cs="Arial"/>
                <w:sz w:val="20"/>
                <w:szCs w:val="20"/>
              </w:rPr>
            </w:pPr>
            <w:r w:rsidRPr="0003080C">
              <w:rPr>
                <w:rFonts w:ascii="Arial" w:hAnsi="Arial" w:cs="Arial"/>
                <w:color w:val="444444"/>
                <w:sz w:val="20"/>
                <w:szCs w:val="20"/>
                <w:u w:val="single"/>
              </w:rPr>
              <w:t>South Australia</w:t>
            </w:r>
          </w:p>
        </w:tc>
        <w:tc>
          <w:tcPr>
            <w:tcW w:w="0" w:type="auto"/>
            <w:shd w:val="clear" w:color="auto" w:fill="D9D9D9" w:themeFill="background1" w:themeFillShade="D9"/>
            <w:tcMar>
              <w:top w:w="90" w:type="dxa"/>
              <w:left w:w="90" w:type="dxa"/>
              <w:bottom w:w="90" w:type="dxa"/>
              <w:right w:w="90" w:type="dxa"/>
            </w:tcMar>
            <w:hideMark/>
          </w:tcPr>
          <w:p w:rsidR="00A7318C" w:rsidRPr="003767FF" w:rsidRDefault="0022351C" w:rsidP="00A7318C">
            <w:pPr>
              <w:spacing w:before="120" w:after="120"/>
              <w:rPr>
                <w:rFonts w:ascii="Arial" w:hAnsi="Arial" w:cs="Arial"/>
                <w:color w:val="0000FF"/>
                <w:sz w:val="20"/>
                <w:szCs w:val="20"/>
              </w:rPr>
            </w:pPr>
            <w:hyperlink r:id="rId24" w:tgtFrame="_blank" w:history="1">
              <w:r w:rsidR="00E130BC" w:rsidRPr="00E130BC">
                <w:rPr>
                  <w:rStyle w:val="Hyperlink"/>
                  <w:rFonts w:ascii="Arial" w:hAnsi="Arial" w:cs="Arial"/>
                  <w:color w:val="0000FF"/>
                  <w:sz w:val="20"/>
                  <w:szCs w:val="20"/>
                </w:rPr>
                <w:t>Health Practitioner Regulation National Law (South Australia) Act 2010</w:t>
              </w:r>
            </w:hyperlink>
          </w:p>
        </w:tc>
      </w:tr>
      <w:tr w:rsidR="00A7318C" w:rsidRPr="00E53EAF" w:rsidTr="00A7318C">
        <w:tc>
          <w:tcPr>
            <w:tcW w:w="0" w:type="auto"/>
            <w:shd w:val="clear" w:color="auto" w:fill="D9D9D9" w:themeFill="background1" w:themeFillShade="D9"/>
            <w:tcMar>
              <w:top w:w="90" w:type="dxa"/>
              <w:left w:w="90" w:type="dxa"/>
              <w:bottom w:w="90" w:type="dxa"/>
              <w:right w:w="90" w:type="dxa"/>
            </w:tcMar>
            <w:hideMark/>
          </w:tcPr>
          <w:p w:rsidR="00A7318C" w:rsidRPr="003767FF" w:rsidRDefault="00E130BC" w:rsidP="00A7318C">
            <w:pPr>
              <w:spacing w:before="120" w:after="120"/>
              <w:rPr>
                <w:rFonts w:ascii="Arial" w:hAnsi="Arial" w:cs="Arial"/>
                <w:sz w:val="20"/>
                <w:szCs w:val="20"/>
              </w:rPr>
            </w:pPr>
            <w:r w:rsidRPr="00E130BC">
              <w:rPr>
                <w:rFonts w:ascii="Arial" w:hAnsi="Arial" w:cs="Arial"/>
                <w:sz w:val="20"/>
                <w:szCs w:val="20"/>
              </w:rPr>
              <w:t>Western Australia</w:t>
            </w:r>
          </w:p>
        </w:tc>
        <w:tc>
          <w:tcPr>
            <w:tcW w:w="0" w:type="auto"/>
            <w:shd w:val="clear" w:color="auto" w:fill="D9D9D9" w:themeFill="background1" w:themeFillShade="D9"/>
            <w:tcMar>
              <w:top w:w="90" w:type="dxa"/>
              <w:left w:w="90" w:type="dxa"/>
              <w:bottom w:w="90" w:type="dxa"/>
              <w:right w:w="90" w:type="dxa"/>
            </w:tcMar>
            <w:hideMark/>
          </w:tcPr>
          <w:p w:rsidR="00A7318C" w:rsidRPr="003767FF" w:rsidRDefault="0022351C" w:rsidP="00A7318C">
            <w:pPr>
              <w:spacing w:before="120" w:after="120" w:line="240" w:lineRule="auto"/>
              <w:rPr>
                <w:rFonts w:ascii="Arial" w:hAnsi="Arial" w:cs="Arial"/>
                <w:color w:val="0000FF"/>
                <w:sz w:val="20"/>
                <w:szCs w:val="20"/>
              </w:rPr>
            </w:pPr>
            <w:hyperlink r:id="rId25" w:tgtFrame="_blank" w:history="1">
              <w:r w:rsidR="00E130BC" w:rsidRPr="00E130BC">
                <w:rPr>
                  <w:rStyle w:val="Hyperlink"/>
                  <w:rFonts w:ascii="Arial" w:hAnsi="Arial" w:cs="Arial"/>
                  <w:color w:val="0000FF"/>
                  <w:sz w:val="20"/>
                  <w:szCs w:val="20"/>
                </w:rPr>
                <w:t>Health Practitioner Regulation National Law (WA) Act 2010</w:t>
              </w:r>
            </w:hyperlink>
          </w:p>
        </w:tc>
      </w:tr>
    </w:tbl>
    <w:p w:rsidR="004A5695" w:rsidRDefault="004A5695" w:rsidP="00913E3C">
      <w:pPr>
        <w:pStyle w:val="AHPRASubheadinglevel2"/>
        <w:spacing w:before="360" w:after="120"/>
        <w:rPr>
          <w:rFonts w:eastAsiaTheme="minorHAnsi" w:cs="Arial"/>
          <w:bCs/>
          <w:color w:val="007DC3"/>
          <w:szCs w:val="20"/>
          <w:lang w:val="en-AU" w:eastAsia="en-AU"/>
        </w:rPr>
      </w:pPr>
      <w:bookmarkStart w:id="24" w:name="_Toc426364374"/>
    </w:p>
    <w:p w:rsidR="004A5695" w:rsidRDefault="004A5695" w:rsidP="00913E3C">
      <w:pPr>
        <w:pStyle w:val="AHPRASubheadinglevel2"/>
        <w:spacing w:before="360" w:after="120"/>
        <w:rPr>
          <w:rFonts w:eastAsiaTheme="minorHAnsi" w:cs="Arial"/>
          <w:bCs/>
          <w:color w:val="007DC3"/>
          <w:szCs w:val="20"/>
          <w:lang w:val="en-AU" w:eastAsia="en-AU"/>
        </w:rPr>
      </w:pPr>
    </w:p>
    <w:p w:rsidR="00226BA5" w:rsidRPr="00913E3C" w:rsidRDefault="00226BA5" w:rsidP="00913E3C">
      <w:pPr>
        <w:pStyle w:val="AHPRASubheadinglevel2"/>
        <w:spacing w:before="360" w:after="120"/>
        <w:rPr>
          <w:rFonts w:eastAsiaTheme="minorHAnsi" w:cs="Arial"/>
          <w:bCs/>
          <w:color w:val="007DC3"/>
          <w:szCs w:val="20"/>
          <w:lang w:val="en-AU" w:eastAsia="en-AU"/>
        </w:rPr>
      </w:pPr>
      <w:r w:rsidRPr="00913E3C">
        <w:rPr>
          <w:rFonts w:eastAsiaTheme="minorHAnsi" w:cs="Arial"/>
          <w:bCs/>
          <w:color w:val="007DC3"/>
          <w:szCs w:val="20"/>
          <w:lang w:val="en-AU" w:eastAsia="en-AU"/>
        </w:rPr>
        <w:t>Questions for consideration</w:t>
      </w:r>
      <w:bookmarkEnd w:id="24"/>
    </w:p>
    <w:p w:rsidR="00226BA5" w:rsidRPr="00E53EAF" w:rsidRDefault="00226BA5" w:rsidP="005769C0">
      <w:pPr>
        <w:pStyle w:val="AHPRAbodyContextparanumbered"/>
        <w:ind w:left="0" w:hanging="425"/>
        <w:rPr>
          <w:szCs w:val="20"/>
        </w:rPr>
      </w:pPr>
      <w:r w:rsidRPr="00E53EAF">
        <w:rPr>
          <w:szCs w:val="20"/>
        </w:rPr>
        <w:t>The Board is inviting feedback on the following questions</w:t>
      </w:r>
      <w:r w:rsidR="00BC20F4">
        <w:rPr>
          <w:szCs w:val="20"/>
        </w:rPr>
        <w:t>:</w:t>
      </w:r>
    </w:p>
    <w:p w:rsidR="00226BA5" w:rsidRPr="00E53EAF" w:rsidRDefault="004712A6" w:rsidP="009D19A9">
      <w:pPr>
        <w:numPr>
          <w:ilvl w:val="0"/>
          <w:numId w:val="2"/>
        </w:numPr>
        <w:spacing w:before="120" w:after="120" w:line="240" w:lineRule="auto"/>
        <w:ind w:left="284" w:hanging="284"/>
        <w:contextualSpacing/>
        <w:rPr>
          <w:rFonts w:ascii="Arial" w:hAnsi="Arial" w:cs="Arial"/>
          <w:sz w:val="20"/>
          <w:szCs w:val="20"/>
        </w:rPr>
      </w:pPr>
      <w:r>
        <w:rPr>
          <w:rFonts w:ascii="Arial" w:hAnsi="Arial" w:cs="Arial"/>
          <w:sz w:val="20"/>
          <w:szCs w:val="20"/>
        </w:rPr>
        <w:t>Do</w:t>
      </w:r>
      <w:r w:rsidR="00226BA5" w:rsidRPr="00E53EAF">
        <w:rPr>
          <w:rFonts w:ascii="Arial" w:hAnsi="Arial" w:cs="Arial"/>
          <w:sz w:val="20"/>
          <w:szCs w:val="20"/>
        </w:rPr>
        <w:t xml:space="preserve"> the draft </w:t>
      </w:r>
      <w:r w:rsidR="005769C0">
        <w:rPr>
          <w:rFonts w:ascii="Arial" w:hAnsi="Arial" w:cs="Arial"/>
          <w:i/>
          <w:sz w:val="20"/>
          <w:szCs w:val="20"/>
        </w:rPr>
        <w:t>National examination guideline</w:t>
      </w:r>
      <w:r w:rsidR="00011B9C">
        <w:rPr>
          <w:rFonts w:ascii="Arial" w:hAnsi="Arial" w:cs="Arial"/>
          <w:i/>
          <w:sz w:val="20"/>
          <w:szCs w:val="20"/>
        </w:rPr>
        <w:t>s</w:t>
      </w:r>
      <w:r w:rsidR="00226BA5" w:rsidRPr="00E53EAF">
        <w:rPr>
          <w:rFonts w:ascii="Arial" w:hAnsi="Arial" w:cs="Arial"/>
          <w:i/>
          <w:sz w:val="20"/>
          <w:szCs w:val="20"/>
        </w:rPr>
        <w:t xml:space="preserve"> </w:t>
      </w:r>
      <w:r w:rsidR="00226BA5" w:rsidRPr="00E53EAF">
        <w:rPr>
          <w:rFonts w:ascii="Arial" w:hAnsi="Arial" w:cs="Arial"/>
          <w:sz w:val="20"/>
          <w:szCs w:val="20"/>
        </w:rPr>
        <w:t>provide clear guidance for practitioners?</w:t>
      </w:r>
    </w:p>
    <w:p w:rsidR="00226BA5" w:rsidRPr="00E53EAF" w:rsidRDefault="00226BA5" w:rsidP="009D19A9">
      <w:pPr>
        <w:numPr>
          <w:ilvl w:val="0"/>
          <w:numId w:val="2"/>
        </w:numPr>
        <w:spacing w:before="120" w:after="120" w:line="240" w:lineRule="auto"/>
        <w:ind w:left="284" w:hanging="284"/>
        <w:contextualSpacing/>
        <w:rPr>
          <w:rFonts w:ascii="Arial" w:hAnsi="Arial" w:cs="Arial"/>
          <w:sz w:val="20"/>
          <w:szCs w:val="20"/>
        </w:rPr>
      </w:pPr>
      <w:r w:rsidRPr="00E53EAF">
        <w:rPr>
          <w:rFonts w:ascii="Arial" w:hAnsi="Arial" w:cs="Arial"/>
          <w:sz w:val="20"/>
          <w:szCs w:val="20"/>
        </w:rPr>
        <w:t>Is the</w:t>
      </w:r>
      <w:r w:rsidR="005769C0">
        <w:rPr>
          <w:rFonts w:ascii="Arial" w:hAnsi="Arial" w:cs="Arial"/>
          <w:sz w:val="20"/>
          <w:szCs w:val="20"/>
        </w:rPr>
        <w:t xml:space="preserve"> content of the draft guideline</w:t>
      </w:r>
      <w:r w:rsidR="00011B9C">
        <w:rPr>
          <w:rFonts w:ascii="Arial" w:hAnsi="Arial" w:cs="Arial"/>
          <w:sz w:val="20"/>
          <w:szCs w:val="20"/>
        </w:rPr>
        <w:t>s</w:t>
      </w:r>
      <w:r w:rsidRPr="00E53EAF">
        <w:rPr>
          <w:rFonts w:ascii="Arial" w:hAnsi="Arial" w:cs="Arial"/>
          <w:sz w:val="20"/>
          <w:szCs w:val="20"/>
        </w:rPr>
        <w:t xml:space="preserve"> helpful, relevant and workable?</w:t>
      </w:r>
    </w:p>
    <w:p w:rsidR="00226BA5" w:rsidRPr="00E53EAF" w:rsidRDefault="00226BA5" w:rsidP="009D19A9">
      <w:pPr>
        <w:numPr>
          <w:ilvl w:val="0"/>
          <w:numId w:val="2"/>
        </w:numPr>
        <w:spacing w:before="120" w:after="120" w:line="240" w:lineRule="auto"/>
        <w:ind w:left="284" w:hanging="284"/>
        <w:contextualSpacing/>
        <w:rPr>
          <w:rFonts w:ascii="Arial" w:hAnsi="Arial" w:cs="Arial"/>
          <w:sz w:val="20"/>
          <w:szCs w:val="20"/>
        </w:rPr>
      </w:pPr>
      <w:r w:rsidRPr="00E53EAF">
        <w:rPr>
          <w:rFonts w:ascii="Arial" w:hAnsi="Arial" w:cs="Arial"/>
          <w:sz w:val="20"/>
          <w:szCs w:val="20"/>
        </w:rPr>
        <w:t>Is there any content that needs to be changed or</w:t>
      </w:r>
      <w:r w:rsidR="005769C0">
        <w:rPr>
          <w:rFonts w:ascii="Arial" w:hAnsi="Arial" w:cs="Arial"/>
          <w:sz w:val="20"/>
          <w:szCs w:val="20"/>
        </w:rPr>
        <w:t xml:space="preserve"> deleted in the draft guideline</w:t>
      </w:r>
      <w:r w:rsidR="00011B9C">
        <w:rPr>
          <w:rFonts w:ascii="Arial" w:hAnsi="Arial" w:cs="Arial"/>
          <w:sz w:val="20"/>
          <w:szCs w:val="20"/>
        </w:rPr>
        <w:t>s</w:t>
      </w:r>
      <w:r w:rsidRPr="00E53EAF">
        <w:rPr>
          <w:rFonts w:ascii="Arial" w:hAnsi="Arial" w:cs="Arial"/>
          <w:sz w:val="20"/>
          <w:szCs w:val="20"/>
        </w:rPr>
        <w:t>?</w:t>
      </w:r>
    </w:p>
    <w:p w:rsidR="00226BA5" w:rsidRPr="00E53EAF" w:rsidRDefault="00226BA5" w:rsidP="009D19A9">
      <w:pPr>
        <w:numPr>
          <w:ilvl w:val="0"/>
          <w:numId w:val="2"/>
        </w:numPr>
        <w:spacing w:before="120" w:after="120" w:line="240" w:lineRule="auto"/>
        <w:ind w:left="284" w:hanging="284"/>
        <w:contextualSpacing/>
        <w:rPr>
          <w:rFonts w:ascii="Arial" w:hAnsi="Arial" w:cs="Arial"/>
          <w:sz w:val="20"/>
          <w:szCs w:val="20"/>
        </w:rPr>
      </w:pPr>
      <w:r w:rsidRPr="00E53EAF">
        <w:rPr>
          <w:rFonts w:ascii="Arial" w:hAnsi="Arial" w:cs="Arial"/>
          <w:sz w:val="20"/>
          <w:szCs w:val="20"/>
        </w:rPr>
        <w:t xml:space="preserve">Are there other requirements that need to be </w:t>
      </w:r>
      <w:r w:rsidR="005769C0">
        <w:rPr>
          <w:rFonts w:ascii="Arial" w:hAnsi="Arial" w:cs="Arial"/>
          <w:sz w:val="20"/>
          <w:szCs w:val="20"/>
        </w:rPr>
        <w:t>included in the draft guideline</w:t>
      </w:r>
      <w:r w:rsidR="00011B9C">
        <w:rPr>
          <w:rFonts w:ascii="Arial" w:hAnsi="Arial" w:cs="Arial"/>
          <w:sz w:val="20"/>
          <w:szCs w:val="20"/>
        </w:rPr>
        <w:t>s</w:t>
      </w:r>
      <w:r w:rsidRPr="00E53EAF">
        <w:rPr>
          <w:rFonts w:ascii="Arial" w:hAnsi="Arial" w:cs="Arial"/>
          <w:sz w:val="20"/>
          <w:szCs w:val="20"/>
        </w:rPr>
        <w:t>?</w:t>
      </w:r>
    </w:p>
    <w:p w:rsidR="00226BA5" w:rsidRPr="00E53EAF" w:rsidRDefault="00226BA5" w:rsidP="009D19A9">
      <w:pPr>
        <w:numPr>
          <w:ilvl w:val="0"/>
          <w:numId w:val="2"/>
        </w:numPr>
        <w:spacing w:before="120" w:after="120" w:line="240" w:lineRule="auto"/>
        <w:ind w:left="284" w:hanging="284"/>
        <w:contextualSpacing/>
        <w:rPr>
          <w:rFonts w:ascii="Arial" w:hAnsi="Arial" w:cs="Arial"/>
          <w:sz w:val="20"/>
          <w:szCs w:val="20"/>
        </w:rPr>
      </w:pPr>
      <w:r w:rsidRPr="00E53EAF">
        <w:rPr>
          <w:rFonts w:ascii="Arial" w:hAnsi="Arial" w:cs="Arial"/>
          <w:sz w:val="20"/>
          <w:szCs w:val="20"/>
        </w:rPr>
        <w:t>Are there any relevant impacts for practitioners, governments or other stakeholders that the Board should be aware of?</w:t>
      </w:r>
    </w:p>
    <w:p w:rsidR="00226BA5" w:rsidRPr="00B93981" w:rsidRDefault="00226BA5" w:rsidP="009D19A9">
      <w:pPr>
        <w:numPr>
          <w:ilvl w:val="0"/>
          <w:numId w:val="2"/>
        </w:numPr>
        <w:spacing w:before="120" w:after="120" w:line="240" w:lineRule="auto"/>
        <w:ind w:left="284" w:hanging="284"/>
        <w:contextualSpacing/>
        <w:rPr>
          <w:rFonts w:ascii="Arial" w:hAnsi="Arial" w:cs="Arial"/>
          <w:sz w:val="20"/>
          <w:szCs w:val="20"/>
        </w:rPr>
        <w:sectPr w:rsidR="00226BA5" w:rsidRPr="00B93981" w:rsidSect="001933F4">
          <w:headerReference w:type="even" r:id="rId26"/>
          <w:headerReference w:type="default" r:id="rId27"/>
          <w:footerReference w:type="default" r:id="rId28"/>
          <w:headerReference w:type="first" r:id="rId29"/>
          <w:pgSz w:w="11906" w:h="16838"/>
          <w:pgMar w:top="1440" w:right="1440" w:bottom="1560" w:left="1440" w:header="709" w:footer="367" w:gutter="0"/>
          <w:cols w:space="708"/>
          <w:docGrid w:linePitch="360"/>
        </w:sectPr>
      </w:pPr>
      <w:r w:rsidRPr="00E53EAF">
        <w:rPr>
          <w:rFonts w:ascii="Arial" w:hAnsi="Arial" w:cs="Arial"/>
          <w:sz w:val="20"/>
          <w:szCs w:val="20"/>
        </w:rPr>
        <w:t xml:space="preserve">Do you have any other </w:t>
      </w:r>
      <w:r w:rsidR="005769C0">
        <w:rPr>
          <w:rFonts w:ascii="Arial" w:hAnsi="Arial" w:cs="Arial"/>
          <w:sz w:val="20"/>
          <w:szCs w:val="20"/>
        </w:rPr>
        <w:t>comments on the draft guideline</w:t>
      </w:r>
      <w:r w:rsidR="00011B9C">
        <w:rPr>
          <w:rFonts w:ascii="Arial" w:hAnsi="Arial" w:cs="Arial"/>
          <w:sz w:val="20"/>
          <w:szCs w:val="20"/>
        </w:rPr>
        <w:t>s</w:t>
      </w:r>
      <w:r w:rsidR="005769C0">
        <w:rPr>
          <w:rFonts w:ascii="Arial" w:hAnsi="Arial" w:cs="Arial"/>
          <w:sz w:val="20"/>
          <w:szCs w:val="20"/>
        </w:rPr>
        <w:t>?</w:t>
      </w:r>
    </w:p>
    <w:p w:rsidR="00014178" w:rsidRPr="005B754A" w:rsidRDefault="00014178" w:rsidP="005B754A">
      <w:pPr>
        <w:pStyle w:val="AHPRATitle"/>
        <w:rPr>
          <w:color w:val="00BCE4"/>
          <w:sz w:val="32"/>
          <w:szCs w:val="32"/>
        </w:rPr>
      </w:pPr>
      <w:bookmarkStart w:id="25" w:name="_Toc410144265"/>
      <w:bookmarkStart w:id="26" w:name="_Toc410202617"/>
      <w:bookmarkStart w:id="27" w:name="_Toc412797652"/>
      <w:bookmarkStart w:id="28" w:name="_Toc426364375"/>
      <w:bookmarkStart w:id="29" w:name="_Toc379314251"/>
      <w:r w:rsidRPr="005B754A">
        <w:rPr>
          <w:color w:val="00BCE4"/>
          <w:sz w:val="32"/>
          <w:szCs w:val="32"/>
        </w:rPr>
        <w:lastRenderedPageBreak/>
        <w:t>Draft</w:t>
      </w:r>
      <w:bookmarkEnd w:id="25"/>
      <w:bookmarkEnd w:id="26"/>
      <w:bookmarkEnd w:id="27"/>
      <w:bookmarkEnd w:id="28"/>
    </w:p>
    <w:p w:rsidR="00014178" w:rsidRPr="00E53EAF" w:rsidRDefault="0022351C" w:rsidP="00014178">
      <w:pPr>
        <w:pStyle w:val="AHPRADocumenttitle"/>
        <w:rPr>
          <w:lang w:val="en-AU"/>
        </w:rPr>
      </w:pPr>
      <w:r>
        <w:rPr>
          <w:noProof/>
          <w:color w:val="00BCE4"/>
          <w:szCs w:val="32"/>
          <w:lang w:val="en-AU" w:eastAsia="en-AU"/>
        </w:rPr>
        <w:pict>
          <v:shape id="AutoShape 3" o:spid="_x0000_s1028" type="#_x0000_t32" style="position:absolute;margin-left:-63.1pt;margin-top:.9pt;width:102.2pt;height:0;z-index:251716608;visibility:visible;mso-wrap-style:square;mso-height-percent:0;mso-wrap-distance-left:9pt;mso-wrap-distance-top:-1e-4mm;mso-wrap-distance-right:9pt;mso-wrap-distance-bottom:-1e-4mm;mso-position-horizontal:absolute;mso-position-horizontal-relative:text;mso-position-vertical:absolute;mso-position-vertical-relative:text;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Vp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" adj="159,-1,159"/>
        </w:pict>
      </w:r>
    </w:p>
    <w:p w:rsidR="00AE3FD1" w:rsidRPr="00E53EAF" w:rsidRDefault="00AE3FD1" w:rsidP="00AE3FD1">
      <w:pPr>
        <w:rPr>
          <w:rFonts w:ascii="Arial" w:eastAsia="Times New Roman" w:hAnsi="Arial" w:cs="Arial"/>
          <w:color w:val="00BCE4"/>
          <w:sz w:val="28"/>
          <w:szCs w:val="28"/>
        </w:rPr>
      </w:pPr>
      <w:r w:rsidRPr="00E53EAF">
        <w:rPr>
          <w:rFonts w:ascii="Arial" w:hAnsi="Arial" w:cs="Arial"/>
          <w:b/>
          <w:color w:val="007DC3"/>
          <w:sz w:val="20"/>
          <w:szCs w:val="20"/>
        </w:rPr>
        <w:t>Effective from:</w:t>
      </w:r>
      <w:r w:rsidRPr="00E53EAF">
        <w:rPr>
          <w:rFonts w:ascii="Arial" w:hAnsi="Arial" w:cs="Arial"/>
          <w:b/>
          <w:color w:val="008EC4"/>
          <w:sz w:val="20"/>
          <w:szCs w:val="20"/>
        </w:rPr>
        <w:tab/>
      </w:r>
      <w:r w:rsidRPr="000C577B">
        <w:rPr>
          <w:rFonts w:ascii="Arial" w:hAnsi="Arial" w:cs="Arial"/>
          <w:sz w:val="20"/>
          <w:szCs w:val="20"/>
        </w:rPr>
        <w:t>&lt;&lt;date&gt;&gt;</w:t>
      </w:r>
    </w:p>
    <w:p w:rsidR="00AE3FD1" w:rsidRPr="00E53EAF" w:rsidRDefault="00AE3FD1" w:rsidP="00AE3FD1">
      <w:pPr>
        <w:rPr>
          <w:rFonts w:ascii="Arial" w:hAnsi="Arial" w:cs="Arial"/>
          <w:sz w:val="20"/>
          <w:szCs w:val="20"/>
        </w:rPr>
      </w:pPr>
      <w:r w:rsidRPr="00E53EAF">
        <w:rPr>
          <w:rFonts w:ascii="Arial" w:hAnsi="Arial" w:cs="Arial"/>
          <w:b/>
          <w:color w:val="007DC3"/>
          <w:sz w:val="20"/>
          <w:szCs w:val="20"/>
        </w:rPr>
        <w:t>Review date:</w:t>
      </w:r>
      <w:r w:rsidRPr="00E53EAF">
        <w:rPr>
          <w:rFonts w:ascii="Arial" w:hAnsi="Arial" w:cs="Arial"/>
          <w:b/>
          <w:color w:val="008EC4"/>
          <w:sz w:val="20"/>
          <w:szCs w:val="20"/>
        </w:rPr>
        <w:tab/>
      </w:r>
      <w:r w:rsidRPr="000C577B">
        <w:rPr>
          <w:rFonts w:ascii="Arial" w:hAnsi="Arial" w:cs="Arial"/>
          <w:sz w:val="20"/>
          <w:szCs w:val="20"/>
        </w:rPr>
        <w:t>&lt;&lt;date&gt;&gt;</w:t>
      </w:r>
    </w:p>
    <w:p w:rsidR="00AE3FD1" w:rsidRPr="00E53EAF" w:rsidRDefault="00AE3FD1" w:rsidP="002D672F">
      <w:pPr>
        <w:spacing w:after="0"/>
        <w:rPr>
          <w:rFonts w:ascii="Arial" w:hAnsi="Arial" w:cs="Arial"/>
          <w:bCs/>
          <w:color w:val="5F5F5F"/>
          <w:sz w:val="28"/>
          <w:szCs w:val="28"/>
          <w:lang w:eastAsia="en-AU"/>
        </w:rPr>
      </w:pPr>
      <w:bookmarkStart w:id="30" w:name="_Toc315895074"/>
      <w:bookmarkStart w:id="31" w:name="_Toc315895085"/>
    </w:p>
    <w:p w:rsidR="00014178" w:rsidRPr="005B754A" w:rsidRDefault="00014178" w:rsidP="005B754A">
      <w:pPr>
        <w:pStyle w:val="AHPRASubheadinglevel2"/>
        <w:rPr>
          <w:b w:val="0"/>
          <w:color w:val="595959" w:themeColor="text1" w:themeTint="A6"/>
          <w:sz w:val="28"/>
          <w:szCs w:val="28"/>
          <w:lang w:eastAsia="en-AU"/>
        </w:rPr>
      </w:pPr>
      <w:bookmarkStart w:id="32" w:name="_Toc426364376"/>
      <w:r w:rsidRPr="005B754A">
        <w:rPr>
          <w:b w:val="0"/>
          <w:color w:val="595959" w:themeColor="text1" w:themeTint="A6"/>
          <w:sz w:val="28"/>
          <w:szCs w:val="28"/>
          <w:lang w:eastAsia="en-AU"/>
        </w:rPr>
        <w:t xml:space="preserve">National </w:t>
      </w:r>
      <w:r w:rsidR="00023D4A" w:rsidRPr="005B754A">
        <w:rPr>
          <w:b w:val="0"/>
          <w:color w:val="595959" w:themeColor="text1" w:themeTint="A6"/>
          <w:sz w:val="28"/>
          <w:szCs w:val="28"/>
          <w:lang w:eastAsia="en-AU"/>
        </w:rPr>
        <w:t>e</w:t>
      </w:r>
      <w:r w:rsidRPr="005B754A">
        <w:rPr>
          <w:b w:val="0"/>
          <w:color w:val="595959" w:themeColor="text1" w:themeTint="A6"/>
          <w:sz w:val="28"/>
          <w:szCs w:val="28"/>
          <w:lang w:eastAsia="en-AU"/>
        </w:rPr>
        <w:t>xamination</w:t>
      </w:r>
      <w:r w:rsidR="004A2EB1">
        <w:rPr>
          <w:b w:val="0"/>
          <w:color w:val="595959" w:themeColor="text1" w:themeTint="A6"/>
          <w:sz w:val="28"/>
          <w:szCs w:val="28"/>
          <w:lang w:eastAsia="en-AU"/>
        </w:rPr>
        <w:t xml:space="preserve"> guideline</w:t>
      </w:r>
      <w:bookmarkEnd w:id="32"/>
      <w:r w:rsidR="00011B9C">
        <w:rPr>
          <w:b w:val="0"/>
          <w:color w:val="595959" w:themeColor="text1" w:themeTint="A6"/>
          <w:sz w:val="28"/>
          <w:szCs w:val="28"/>
          <w:lang w:eastAsia="en-AU"/>
        </w:rPr>
        <w:t>s</w:t>
      </w:r>
    </w:p>
    <w:bookmarkEnd w:id="30"/>
    <w:bookmarkEnd w:id="31"/>
    <w:p w:rsidR="00014178" w:rsidRPr="00E53EAF" w:rsidRDefault="00014178" w:rsidP="009753CC">
      <w:pPr>
        <w:spacing w:before="360" w:after="200" w:line="240" w:lineRule="auto"/>
        <w:rPr>
          <w:rFonts w:ascii="Arial" w:eastAsia="Times New Roman" w:hAnsi="Arial" w:cs="Times New Roman"/>
          <w:b/>
          <w:color w:val="007DC3"/>
          <w:sz w:val="20"/>
          <w:szCs w:val="24"/>
        </w:rPr>
      </w:pPr>
      <w:r w:rsidRPr="00E53EAF">
        <w:rPr>
          <w:rFonts w:ascii="Arial" w:eastAsia="Times New Roman" w:hAnsi="Arial" w:cs="Times New Roman"/>
          <w:b/>
          <w:color w:val="007DC3"/>
          <w:sz w:val="20"/>
          <w:szCs w:val="24"/>
        </w:rPr>
        <w:t>Introduction</w:t>
      </w:r>
    </w:p>
    <w:p w:rsidR="00014178" w:rsidRPr="00E53EAF" w:rsidRDefault="00014178" w:rsidP="005769C0">
      <w:pPr>
        <w:pStyle w:val="AHPRAbodyContextparanumbered"/>
        <w:ind w:left="0" w:hanging="425"/>
        <w:rPr>
          <w:szCs w:val="20"/>
        </w:rPr>
      </w:pPr>
      <w:r w:rsidRPr="00E53EAF">
        <w:rPr>
          <w:szCs w:val="20"/>
        </w:rPr>
        <w:t>These guidelines and specifications have been prepared to assist candidates for the Medical Radiation Practice Board of Austr</w:t>
      </w:r>
      <w:r w:rsidR="004A2EB1">
        <w:rPr>
          <w:szCs w:val="20"/>
        </w:rPr>
        <w:t>alia examination. The guideline</w:t>
      </w:r>
      <w:r w:rsidRPr="00E53EAF">
        <w:rPr>
          <w:szCs w:val="20"/>
        </w:rPr>
        <w:t xml:space="preserve"> contain</w:t>
      </w:r>
      <w:r w:rsidR="004A2EB1">
        <w:rPr>
          <w:szCs w:val="20"/>
        </w:rPr>
        <w:t>s</w:t>
      </w:r>
      <w:r w:rsidRPr="00E53EAF">
        <w:rPr>
          <w:szCs w:val="20"/>
        </w:rPr>
        <w:t xml:space="preserve"> information about:</w:t>
      </w:r>
    </w:p>
    <w:p w:rsidR="00014178" w:rsidRPr="00E53EAF" w:rsidRDefault="00014178" w:rsidP="009D19A9">
      <w:pPr>
        <w:numPr>
          <w:ilvl w:val="0"/>
          <w:numId w:val="7"/>
        </w:numPr>
        <w:spacing w:before="120" w:after="120" w:line="240" w:lineRule="auto"/>
        <w:ind w:left="641" w:hanging="357"/>
        <w:rPr>
          <w:rFonts w:ascii="Arial" w:hAnsi="Arial" w:cs="Arial"/>
          <w:sz w:val="20"/>
          <w:szCs w:val="20"/>
        </w:rPr>
      </w:pPr>
      <w:r w:rsidRPr="00E53EAF">
        <w:rPr>
          <w:rFonts w:ascii="Arial" w:hAnsi="Arial" w:cs="Arial"/>
          <w:sz w:val="20"/>
          <w:szCs w:val="20"/>
        </w:rPr>
        <w:t>the format and requirements of the examination</w:t>
      </w:r>
    </w:p>
    <w:p w:rsidR="00014178" w:rsidRPr="00E53EAF" w:rsidRDefault="00014178" w:rsidP="009D19A9">
      <w:pPr>
        <w:numPr>
          <w:ilvl w:val="0"/>
          <w:numId w:val="7"/>
        </w:numPr>
        <w:spacing w:before="120" w:after="120" w:line="240" w:lineRule="auto"/>
        <w:ind w:left="641" w:hanging="357"/>
        <w:rPr>
          <w:rFonts w:ascii="Arial" w:hAnsi="Arial" w:cs="Arial"/>
          <w:sz w:val="20"/>
          <w:szCs w:val="20"/>
        </w:rPr>
      </w:pPr>
      <w:r w:rsidRPr="00E53EAF">
        <w:rPr>
          <w:rFonts w:ascii="Arial" w:hAnsi="Arial" w:cs="Arial"/>
          <w:sz w:val="20"/>
          <w:szCs w:val="20"/>
        </w:rPr>
        <w:t>the capabilities required to satisfy the requirements of the examination</w:t>
      </w:r>
    </w:p>
    <w:p w:rsidR="00014178" w:rsidRPr="00E53EAF" w:rsidRDefault="00014178" w:rsidP="009D19A9">
      <w:pPr>
        <w:numPr>
          <w:ilvl w:val="0"/>
          <w:numId w:val="7"/>
        </w:numPr>
        <w:spacing w:before="120" w:after="120" w:line="240" w:lineRule="auto"/>
        <w:ind w:left="641" w:hanging="357"/>
        <w:rPr>
          <w:rFonts w:ascii="Arial" w:hAnsi="Arial" w:cs="Arial"/>
          <w:sz w:val="20"/>
          <w:szCs w:val="20"/>
        </w:rPr>
      </w:pPr>
      <w:r w:rsidRPr="00E53EAF">
        <w:rPr>
          <w:rFonts w:ascii="Arial" w:hAnsi="Arial" w:cs="Arial"/>
          <w:sz w:val="20"/>
          <w:szCs w:val="20"/>
        </w:rPr>
        <w:t>preparing for the examination</w:t>
      </w:r>
    </w:p>
    <w:p w:rsidR="00014178" w:rsidRDefault="00014178" w:rsidP="009D19A9">
      <w:pPr>
        <w:numPr>
          <w:ilvl w:val="0"/>
          <w:numId w:val="7"/>
        </w:numPr>
        <w:spacing w:before="120" w:after="120" w:line="240" w:lineRule="auto"/>
        <w:ind w:left="641" w:hanging="357"/>
        <w:rPr>
          <w:rFonts w:ascii="Arial" w:hAnsi="Arial" w:cs="Arial"/>
          <w:sz w:val="20"/>
          <w:szCs w:val="20"/>
        </w:rPr>
      </w:pPr>
      <w:r w:rsidRPr="00E53EAF">
        <w:rPr>
          <w:rFonts w:ascii="Arial" w:hAnsi="Arial" w:cs="Arial"/>
          <w:sz w:val="20"/>
          <w:szCs w:val="20"/>
        </w:rPr>
        <w:t>suggested re</w:t>
      </w:r>
      <w:r w:rsidR="002034F4">
        <w:rPr>
          <w:rFonts w:ascii="Arial" w:hAnsi="Arial" w:cs="Arial"/>
          <w:sz w:val="20"/>
          <w:szCs w:val="20"/>
        </w:rPr>
        <w:t>ading lists for the examination</w:t>
      </w:r>
    </w:p>
    <w:p w:rsidR="002034F4" w:rsidRDefault="002034F4" w:rsidP="009D19A9">
      <w:pPr>
        <w:numPr>
          <w:ilvl w:val="0"/>
          <w:numId w:val="7"/>
        </w:numPr>
        <w:spacing w:before="120" w:after="120" w:line="240" w:lineRule="auto"/>
        <w:ind w:left="641" w:hanging="357"/>
        <w:rPr>
          <w:rFonts w:ascii="Arial" w:hAnsi="Arial" w:cs="Arial"/>
          <w:sz w:val="20"/>
          <w:szCs w:val="20"/>
        </w:rPr>
      </w:pPr>
      <w:r>
        <w:rPr>
          <w:rFonts w:ascii="Arial" w:hAnsi="Arial" w:cs="Arial"/>
          <w:sz w:val="20"/>
          <w:szCs w:val="20"/>
        </w:rPr>
        <w:t>examination rules</w:t>
      </w:r>
      <w:r w:rsidR="00011B9C">
        <w:rPr>
          <w:rFonts w:ascii="Arial" w:hAnsi="Arial" w:cs="Arial"/>
          <w:sz w:val="20"/>
          <w:szCs w:val="20"/>
        </w:rPr>
        <w:t>, and</w:t>
      </w:r>
    </w:p>
    <w:p w:rsidR="002034F4" w:rsidRPr="00E53EAF" w:rsidRDefault="002034F4" w:rsidP="009D19A9">
      <w:pPr>
        <w:numPr>
          <w:ilvl w:val="0"/>
          <w:numId w:val="7"/>
        </w:numPr>
        <w:spacing w:before="120" w:after="120" w:line="240" w:lineRule="auto"/>
        <w:ind w:left="641" w:hanging="357"/>
        <w:rPr>
          <w:rFonts w:ascii="Arial" w:hAnsi="Arial" w:cs="Arial"/>
          <w:sz w:val="20"/>
          <w:szCs w:val="20"/>
        </w:rPr>
      </w:pPr>
      <w:r>
        <w:rPr>
          <w:rFonts w:ascii="Arial" w:hAnsi="Arial" w:cs="Arial"/>
          <w:sz w:val="20"/>
          <w:szCs w:val="20"/>
        </w:rPr>
        <w:t>how examination results may be used by the Board</w:t>
      </w:r>
      <w:r w:rsidR="00011B9C">
        <w:rPr>
          <w:rFonts w:ascii="Arial" w:hAnsi="Arial" w:cs="Arial"/>
          <w:sz w:val="20"/>
          <w:szCs w:val="20"/>
        </w:rPr>
        <w:t>.</w:t>
      </w:r>
    </w:p>
    <w:p w:rsidR="00014178" w:rsidRPr="00E53EAF" w:rsidRDefault="004A2EB1" w:rsidP="00F50DAC">
      <w:pPr>
        <w:spacing w:after="120" w:line="276" w:lineRule="auto"/>
        <w:rPr>
          <w:rFonts w:ascii="Arial" w:hAnsi="Arial" w:cs="Arial"/>
          <w:sz w:val="20"/>
          <w:szCs w:val="20"/>
        </w:rPr>
      </w:pPr>
      <w:r>
        <w:rPr>
          <w:rFonts w:ascii="Arial" w:hAnsi="Arial" w:cs="Arial"/>
          <w:sz w:val="20"/>
          <w:szCs w:val="20"/>
        </w:rPr>
        <w:t>For more information c</w:t>
      </w:r>
      <w:r w:rsidR="00014178" w:rsidRPr="00E53EAF">
        <w:rPr>
          <w:rFonts w:ascii="Arial" w:hAnsi="Arial" w:cs="Arial"/>
          <w:sz w:val="20"/>
          <w:szCs w:val="20"/>
        </w:rPr>
        <w:t xml:space="preserve">andidates should refer to the </w:t>
      </w:r>
      <w:r w:rsidR="00A142D6" w:rsidRPr="00A142D6">
        <w:rPr>
          <w:rFonts w:ascii="Arial" w:hAnsi="Arial" w:cs="Arial"/>
          <w:i/>
          <w:sz w:val="20"/>
          <w:szCs w:val="20"/>
        </w:rPr>
        <w:t>National examination</w:t>
      </w:r>
      <w:r w:rsidR="00014178" w:rsidRPr="00E53EAF">
        <w:rPr>
          <w:rFonts w:ascii="Arial" w:hAnsi="Arial" w:cs="Arial"/>
          <w:sz w:val="20"/>
          <w:szCs w:val="20"/>
        </w:rPr>
        <w:t xml:space="preserve"> section of the Board’s website</w:t>
      </w:r>
      <w:r w:rsidR="009753CC" w:rsidRPr="00E53EAF">
        <w:rPr>
          <w:rFonts w:ascii="Arial" w:hAnsi="Arial" w:cs="Arial"/>
          <w:sz w:val="20"/>
          <w:szCs w:val="20"/>
        </w:rPr>
        <w:t>.</w:t>
      </w:r>
    </w:p>
    <w:p w:rsidR="00014178" w:rsidRPr="00E53EAF" w:rsidRDefault="00C0594B" w:rsidP="009753CC">
      <w:pPr>
        <w:spacing w:after="200" w:line="240" w:lineRule="auto"/>
        <w:rPr>
          <w:rFonts w:ascii="Arial" w:eastAsia="Times New Roman" w:hAnsi="Arial" w:cs="Times New Roman"/>
          <w:b/>
          <w:color w:val="007DC3"/>
          <w:sz w:val="20"/>
          <w:szCs w:val="24"/>
        </w:rPr>
      </w:pPr>
      <w:r>
        <w:rPr>
          <w:rFonts w:ascii="Arial" w:eastAsia="Times New Roman" w:hAnsi="Arial" w:cs="Times New Roman"/>
          <w:b/>
          <w:color w:val="007DC3"/>
          <w:sz w:val="20"/>
          <w:szCs w:val="24"/>
        </w:rPr>
        <w:t>Assuring capability to practi</w:t>
      </w:r>
      <w:r w:rsidR="00011B9C">
        <w:rPr>
          <w:rFonts w:ascii="Arial" w:eastAsia="Times New Roman" w:hAnsi="Arial" w:cs="Times New Roman"/>
          <w:b/>
          <w:color w:val="007DC3"/>
          <w:sz w:val="20"/>
          <w:szCs w:val="24"/>
        </w:rPr>
        <w:t>s</w:t>
      </w:r>
      <w:r>
        <w:rPr>
          <w:rFonts w:ascii="Arial" w:eastAsia="Times New Roman" w:hAnsi="Arial" w:cs="Times New Roman"/>
          <w:b/>
          <w:color w:val="007DC3"/>
          <w:sz w:val="20"/>
          <w:szCs w:val="24"/>
        </w:rPr>
        <w:t>e</w:t>
      </w:r>
    </w:p>
    <w:p w:rsidR="008D3A24" w:rsidRDefault="00014178" w:rsidP="005769C0">
      <w:pPr>
        <w:pStyle w:val="AHPRAbodyContextparanumbered"/>
        <w:ind w:left="0" w:hanging="425"/>
        <w:rPr>
          <w:szCs w:val="20"/>
        </w:rPr>
      </w:pPr>
      <w:r w:rsidRPr="00E53EAF">
        <w:rPr>
          <w:szCs w:val="20"/>
        </w:rPr>
        <w:t xml:space="preserve">The national examination is </w:t>
      </w:r>
      <w:r w:rsidR="000217C1">
        <w:rPr>
          <w:szCs w:val="20"/>
        </w:rPr>
        <w:t>based on</w:t>
      </w:r>
      <w:r w:rsidRPr="00E53EAF">
        <w:rPr>
          <w:szCs w:val="20"/>
        </w:rPr>
        <w:t xml:space="preserve"> the Board’s </w:t>
      </w:r>
      <w:r w:rsidRPr="00E53EAF">
        <w:rPr>
          <w:i/>
          <w:szCs w:val="20"/>
        </w:rPr>
        <w:t>Professional capabilities for medical radiation practitioners</w:t>
      </w:r>
      <w:r w:rsidRPr="00E53EAF">
        <w:rPr>
          <w:szCs w:val="20"/>
        </w:rPr>
        <w:t xml:space="preserve"> which are the capabilities requir</w:t>
      </w:r>
      <w:r w:rsidR="000217C1">
        <w:rPr>
          <w:szCs w:val="20"/>
        </w:rPr>
        <w:t xml:space="preserve">ed of entry level practitioners, demonstration of which is </w:t>
      </w:r>
      <w:r w:rsidRPr="00E53EAF">
        <w:rPr>
          <w:szCs w:val="20"/>
        </w:rPr>
        <w:t xml:space="preserve">necessary for </w:t>
      </w:r>
      <w:r w:rsidRPr="000217C1">
        <w:rPr>
          <w:i/>
          <w:szCs w:val="20"/>
        </w:rPr>
        <w:t>eligibility</w:t>
      </w:r>
      <w:r w:rsidRPr="00E53EAF">
        <w:rPr>
          <w:szCs w:val="20"/>
        </w:rPr>
        <w:t xml:space="preserve"> for general registration. </w:t>
      </w:r>
    </w:p>
    <w:p w:rsidR="005B754A" w:rsidRDefault="00014178" w:rsidP="005769C0">
      <w:pPr>
        <w:pStyle w:val="AHPRAbodyContextparanumbered"/>
        <w:ind w:left="0" w:hanging="425"/>
        <w:rPr>
          <w:szCs w:val="20"/>
        </w:rPr>
      </w:pPr>
      <w:r w:rsidRPr="00E53EAF">
        <w:rPr>
          <w:szCs w:val="20"/>
        </w:rPr>
        <w:t xml:space="preserve">The examination is constructed from a blueprint based on the </w:t>
      </w:r>
      <w:r w:rsidR="003C0DB0">
        <w:rPr>
          <w:i/>
          <w:szCs w:val="20"/>
        </w:rPr>
        <w:t>p</w:t>
      </w:r>
      <w:r w:rsidR="00A142D6" w:rsidRPr="008D3A24">
        <w:rPr>
          <w:i/>
          <w:szCs w:val="20"/>
        </w:rPr>
        <w:t>rofessional capabilities</w:t>
      </w:r>
      <w:r w:rsidRPr="00E53EAF">
        <w:rPr>
          <w:i/>
          <w:szCs w:val="20"/>
        </w:rPr>
        <w:t xml:space="preserve"> </w:t>
      </w:r>
      <w:r w:rsidRPr="00E53EAF">
        <w:rPr>
          <w:szCs w:val="20"/>
        </w:rPr>
        <w:t>and is designed to</w:t>
      </w:r>
      <w:r w:rsidR="005B754A">
        <w:rPr>
          <w:szCs w:val="20"/>
        </w:rPr>
        <w:t xml:space="preserve"> </w:t>
      </w:r>
      <w:r w:rsidR="003B475A">
        <w:rPr>
          <w:szCs w:val="20"/>
        </w:rPr>
        <w:t>assess a practitioner’s</w:t>
      </w:r>
      <w:r w:rsidR="003C0DB0">
        <w:rPr>
          <w:szCs w:val="20"/>
        </w:rPr>
        <w:t>:</w:t>
      </w:r>
    </w:p>
    <w:p w:rsidR="005B754A" w:rsidRPr="005B754A" w:rsidRDefault="000218A4" w:rsidP="009D19A9">
      <w:pPr>
        <w:pStyle w:val="ListParagraph"/>
        <w:numPr>
          <w:ilvl w:val="0"/>
          <w:numId w:val="14"/>
        </w:numPr>
        <w:spacing w:line="276" w:lineRule="auto"/>
        <w:rPr>
          <w:rFonts w:ascii="Arial" w:hAnsi="Arial" w:cs="Arial"/>
          <w:sz w:val="20"/>
          <w:szCs w:val="20"/>
        </w:rPr>
      </w:pPr>
      <w:r>
        <w:rPr>
          <w:rFonts w:ascii="Arial" w:hAnsi="Arial" w:cs="Arial"/>
          <w:sz w:val="20"/>
          <w:szCs w:val="20"/>
        </w:rPr>
        <w:t xml:space="preserve">ability to </w:t>
      </w:r>
      <w:r w:rsidR="003B475A">
        <w:rPr>
          <w:rFonts w:ascii="Arial" w:hAnsi="Arial" w:cs="Arial"/>
          <w:sz w:val="20"/>
          <w:szCs w:val="20"/>
        </w:rPr>
        <w:t>review critically,</w:t>
      </w:r>
      <w:r w:rsidR="003B475A" w:rsidRPr="003B475A">
        <w:rPr>
          <w:rFonts w:ascii="Arial" w:hAnsi="Arial" w:cs="Arial"/>
          <w:sz w:val="20"/>
          <w:szCs w:val="20"/>
        </w:rPr>
        <w:t xml:space="preserve"> analyse, consolidate and synthesise knowledge</w:t>
      </w:r>
    </w:p>
    <w:p w:rsidR="003B475A" w:rsidRDefault="003B475A" w:rsidP="003B475A">
      <w:pPr>
        <w:pStyle w:val="ListParagraph"/>
        <w:numPr>
          <w:ilvl w:val="0"/>
          <w:numId w:val="14"/>
        </w:numPr>
        <w:spacing w:line="276" w:lineRule="auto"/>
        <w:rPr>
          <w:rFonts w:ascii="Arial" w:hAnsi="Arial" w:cs="Arial"/>
          <w:sz w:val="20"/>
          <w:szCs w:val="20"/>
        </w:rPr>
      </w:pPr>
      <w:r>
        <w:rPr>
          <w:rFonts w:ascii="Arial" w:hAnsi="Arial" w:cs="Arial"/>
          <w:sz w:val="20"/>
          <w:szCs w:val="20"/>
        </w:rPr>
        <w:t xml:space="preserve">ability </w:t>
      </w:r>
      <w:r w:rsidR="003C0DB0">
        <w:rPr>
          <w:rFonts w:ascii="Arial" w:hAnsi="Arial" w:cs="Arial"/>
          <w:sz w:val="20"/>
          <w:szCs w:val="20"/>
        </w:rPr>
        <w:t xml:space="preserve">to </w:t>
      </w:r>
      <w:r w:rsidRPr="005B754A">
        <w:rPr>
          <w:rFonts w:ascii="Arial" w:hAnsi="Arial" w:cs="Arial"/>
          <w:sz w:val="20"/>
          <w:szCs w:val="20"/>
        </w:rPr>
        <w:t>differentiate theoretical concepts,</w:t>
      </w:r>
      <w:r>
        <w:rPr>
          <w:rFonts w:ascii="Arial" w:hAnsi="Arial" w:cs="Arial"/>
          <w:sz w:val="20"/>
          <w:szCs w:val="20"/>
        </w:rPr>
        <w:t xml:space="preserve"> to </w:t>
      </w:r>
      <w:r w:rsidRPr="003B475A">
        <w:rPr>
          <w:rFonts w:ascii="Arial" w:hAnsi="Arial" w:cs="Arial"/>
          <w:sz w:val="20"/>
          <w:szCs w:val="20"/>
        </w:rPr>
        <w:t>exercise critical thinking and judgement in identifying and solving problems</w:t>
      </w:r>
    </w:p>
    <w:p w:rsidR="003B475A" w:rsidRDefault="003B475A" w:rsidP="003B475A">
      <w:pPr>
        <w:pStyle w:val="ListParagraph"/>
        <w:numPr>
          <w:ilvl w:val="0"/>
          <w:numId w:val="14"/>
        </w:numPr>
        <w:spacing w:line="276" w:lineRule="auto"/>
        <w:rPr>
          <w:rFonts w:ascii="Arial" w:hAnsi="Arial" w:cs="Arial"/>
          <w:sz w:val="20"/>
          <w:szCs w:val="20"/>
        </w:rPr>
      </w:pPr>
      <w:r w:rsidRPr="003B475A">
        <w:rPr>
          <w:rFonts w:ascii="Arial" w:hAnsi="Arial" w:cs="Arial"/>
          <w:sz w:val="20"/>
          <w:szCs w:val="20"/>
        </w:rPr>
        <w:t>initiative and judgement in planning, problem solving and decision</w:t>
      </w:r>
      <w:r w:rsidR="003C0DB0">
        <w:rPr>
          <w:rFonts w:ascii="Arial" w:hAnsi="Arial" w:cs="Arial"/>
          <w:sz w:val="20"/>
          <w:szCs w:val="20"/>
        </w:rPr>
        <w:t>-</w:t>
      </w:r>
      <w:r w:rsidRPr="003B475A">
        <w:rPr>
          <w:rFonts w:ascii="Arial" w:hAnsi="Arial" w:cs="Arial"/>
          <w:sz w:val="20"/>
          <w:szCs w:val="20"/>
        </w:rPr>
        <w:t>making in professional practice</w:t>
      </w:r>
    </w:p>
    <w:p w:rsidR="003B475A" w:rsidRDefault="00A142D6" w:rsidP="003B475A">
      <w:pPr>
        <w:pStyle w:val="ListParagraph"/>
        <w:numPr>
          <w:ilvl w:val="0"/>
          <w:numId w:val="14"/>
        </w:numPr>
        <w:spacing w:line="276" w:lineRule="auto"/>
        <w:rPr>
          <w:rFonts w:ascii="Arial" w:hAnsi="Arial" w:cs="Arial"/>
          <w:sz w:val="20"/>
          <w:szCs w:val="20"/>
        </w:rPr>
      </w:pPr>
      <w:r w:rsidRPr="005B754A">
        <w:rPr>
          <w:rFonts w:ascii="Arial" w:hAnsi="Arial" w:cs="Arial"/>
          <w:sz w:val="20"/>
          <w:szCs w:val="20"/>
        </w:rPr>
        <w:t xml:space="preserve">capacity to analyse a </w:t>
      </w:r>
      <w:r w:rsidR="000218A4">
        <w:rPr>
          <w:rFonts w:ascii="Arial" w:hAnsi="Arial" w:cs="Arial"/>
          <w:sz w:val="20"/>
          <w:szCs w:val="20"/>
        </w:rPr>
        <w:t xml:space="preserve">range of </w:t>
      </w:r>
      <w:r w:rsidRPr="005B754A">
        <w:rPr>
          <w:rFonts w:ascii="Arial" w:hAnsi="Arial" w:cs="Arial"/>
          <w:sz w:val="20"/>
          <w:szCs w:val="20"/>
        </w:rPr>
        <w:t xml:space="preserve">circumstances encountered </w:t>
      </w:r>
      <w:r w:rsidR="000218A4">
        <w:rPr>
          <w:rFonts w:ascii="Arial" w:hAnsi="Arial" w:cs="Arial"/>
          <w:sz w:val="20"/>
          <w:szCs w:val="20"/>
        </w:rPr>
        <w:t xml:space="preserve">in clinical practice, </w:t>
      </w:r>
      <w:r w:rsidRPr="005B754A">
        <w:rPr>
          <w:rFonts w:ascii="Arial" w:hAnsi="Arial" w:cs="Arial"/>
          <w:sz w:val="20"/>
          <w:szCs w:val="20"/>
        </w:rPr>
        <w:t>and evaluate options to maximise patient care</w:t>
      </w:r>
      <w:r w:rsidR="00014178" w:rsidRPr="005B754A">
        <w:rPr>
          <w:rFonts w:ascii="Arial" w:hAnsi="Arial" w:cs="Arial"/>
          <w:sz w:val="20"/>
          <w:szCs w:val="20"/>
        </w:rPr>
        <w:t xml:space="preserve"> </w:t>
      </w:r>
    </w:p>
    <w:p w:rsidR="003B475A" w:rsidRPr="003B475A" w:rsidRDefault="00A3518E" w:rsidP="003B475A">
      <w:pPr>
        <w:pStyle w:val="ListParagraph"/>
        <w:numPr>
          <w:ilvl w:val="0"/>
          <w:numId w:val="14"/>
        </w:numPr>
        <w:spacing w:line="276" w:lineRule="auto"/>
        <w:rPr>
          <w:rFonts w:ascii="Arial" w:hAnsi="Arial" w:cs="Arial"/>
          <w:sz w:val="20"/>
          <w:szCs w:val="20"/>
        </w:rPr>
      </w:pPr>
      <w:r>
        <w:rPr>
          <w:rFonts w:ascii="Arial" w:hAnsi="Arial" w:cs="Arial"/>
          <w:sz w:val="20"/>
          <w:szCs w:val="20"/>
        </w:rPr>
        <w:t xml:space="preserve">capacity </w:t>
      </w:r>
      <w:r w:rsidR="003B475A" w:rsidRPr="003B475A">
        <w:rPr>
          <w:rFonts w:ascii="Arial" w:hAnsi="Arial" w:cs="Arial"/>
          <w:sz w:val="20"/>
          <w:szCs w:val="20"/>
        </w:rPr>
        <w:t>to adapt knowledge and skills in diverse contexts</w:t>
      </w:r>
      <w:r w:rsidR="003C0DB0">
        <w:rPr>
          <w:rFonts w:ascii="Arial" w:hAnsi="Arial" w:cs="Arial"/>
          <w:sz w:val="20"/>
          <w:szCs w:val="20"/>
        </w:rPr>
        <w:t>, and</w:t>
      </w:r>
    </w:p>
    <w:p w:rsidR="003B475A" w:rsidRPr="003B475A" w:rsidRDefault="003B475A" w:rsidP="00F50DAC">
      <w:pPr>
        <w:pStyle w:val="ListParagraph"/>
        <w:numPr>
          <w:ilvl w:val="0"/>
          <w:numId w:val="14"/>
        </w:numPr>
        <w:spacing w:line="276" w:lineRule="auto"/>
        <w:rPr>
          <w:rFonts w:ascii="Arial" w:hAnsi="Arial" w:cs="Arial"/>
          <w:sz w:val="20"/>
          <w:szCs w:val="20"/>
        </w:rPr>
      </w:pPr>
      <w:r w:rsidRPr="003B475A">
        <w:rPr>
          <w:rFonts w:ascii="Arial" w:hAnsi="Arial" w:cs="Arial"/>
          <w:sz w:val="20"/>
          <w:szCs w:val="20"/>
        </w:rPr>
        <w:t xml:space="preserve">accountability for professional practice and </w:t>
      </w:r>
      <w:r>
        <w:rPr>
          <w:rFonts w:ascii="Arial" w:hAnsi="Arial" w:cs="Arial"/>
          <w:sz w:val="20"/>
          <w:szCs w:val="20"/>
        </w:rPr>
        <w:t>inter</w:t>
      </w:r>
      <w:r w:rsidR="00A3518E">
        <w:rPr>
          <w:rFonts w:ascii="Arial" w:hAnsi="Arial" w:cs="Arial"/>
          <w:sz w:val="20"/>
          <w:szCs w:val="20"/>
        </w:rPr>
        <w:t>-</w:t>
      </w:r>
      <w:r>
        <w:rPr>
          <w:rFonts w:ascii="Arial" w:hAnsi="Arial" w:cs="Arial"/>
          <w:sz w:val="20"/>
          <w:szCs w:val="20"/>
        </w:rPr>
        <w:t>professional practice</w:t>
      </w:r>
      <w:r w:rsidR="003C0DB0">
        <w:rPr>
          <w:rFonts w:ascii="Arial" w:hAnsi="Arial" w:cs="Arial"/>
          <w:sz w:val="20"/>
          <w:szCs w:val="20"/>
        </w:rPr>
        <w:t>.</w:t>
      </w:r>
    </w:p>
    <w:p w:rsidR="00C0594B" w:rsidRPr="00C0594B" w:rsidRDefault="00C0594B" w:rsidP="00C0594B">
      <w:pPr>
        <w:spacing w:after="200" w:line="240" w:lineRule="auto"/>
        <w:rPr>
          <w:rFonts w:ascii="Arial" w:eastAsia="Times New Roman" w:hAnsi="Arial" w:cs="Times New Roman"/>
          <w:b/>
          <w:color w:val="007DC3"/>
          <w:sz w:val="20"/>
          <w:szCs w:val="24"/>
        </w:rPr>
      </w:pPr>
      <w:r w:rsidRPr="00C0594B">
        <w:rPr>
          <w:rFonts w:ascii="Arial" w:eastAsia="Times New Roman" w:hAnsi="Arial" w:cs="Times New Roman"/>
          <w:b/>
          <w:color w:val="007DC3"/>
          <w:sz w:val="20"/>
          <w:szCs w:val="24"/>
        </w:rPr>
        <w:t>When the Board may require an examination</w:t>
      </w:r>
    </w:p>
    <w:p w:rsidR="00FF0EA7" w:rsidRDefault="00014178" w:rsidP="005769C0">
      <w:pPr>
        <w:pStyle w:val="AHPRAbodyContextparanumbered"/>
        <w:ind w:left="0" w:hanging="425"/>
        <w:rPr>
          <w:szCs w:val="20"/>
        </w:rPr>
      </w:pPr>
      <w:r w:rsidRPr="00E53EAF">
        <w:rPr>
          <w:szCs w:val="20"/>
        </w:rPr>
        <w:t>The examination will support effective improvement in the quality and integrity of decision</w:t>
      </w:r>
      <w:r w:rsidR="00023D4A">
        <w:rPr>
          <w:szCs w:val="20"/>
        </w:rPr>
        <w:t>-</w:t>
      </w:r>
      <w:r w:rsidRPr="00E53EAF">
        <w:rPr>
          <w:szCs w:val="20"/>
        </w:rPr>
        <w:t xml:space="preserve">making when assessing applications for general registration </w:t>
      </w:r>
      <w:r w:rsidR="00C0594B">
        <w:rPr>
          <w:szCs w:val="20"/>
        </w:rPr>
        <w:t>as a</w:t>
      </w:r>
      <w:r w:rsidRPr="00E53EAF">
        <w:rPr>
          <w:szCs w:val="20"/>
        </w:rPr>
        <w:t xml:space="preserve"> </w:t>
      </w:r>
      <w:r w:rsidR="00FF0EA7">
        <w:rPr>
          <w:szCs w:val="20"/>
        </w:rPr>
        <w:t xml:space="preserve">medical radiation </w:t>
      </w:r>
      <w:r w:rsidR="00C0594B">
        <w:rPr>
          <w:szCs w:val="20"/>
        </w:rPr>
        <w:t>practitioner</w:t>
      </w:r>
      <w:r w:rsidR="00FF0EA7">
        <w:rPr>
          <w:szCs w:val="20"/>
        </w:rPr>
        <w:t>.</w:t>
      </w:r>
    </w:p>
    <w:p w:rsidR="000217C1" w:rsidRDefault="000217C1" w:rsidP="000217C1">
      <w:pPr>
        <w:pStyle w:val="AHPRAbodyContextparanumbered"/>
        <w:ind w:left="0" w:hanging="425"/>
        <w:rPr>
          <w:szCs w:val="20"/>
        </w:rPr>
      </w:pPr>
      <w:r>
        <w:rPr>
          <w:szCs w:val="20"/>
        </w:rPr>
        <w:t>The Board may require a practitioner to sit an examination where</w:t>
      </w:r>
      <w:r w:rsidR="003C0DB0">
        <w:rPr>
          <w:szCs w:val="20"/>
        </w:rPr>
        <w:t>:</w:t>
      </w:r>
      <w:r>
        <w:rPr>
          <w:szCs w:val="20"/>
        </w:rPr>
        <w:t xml:space="preserve"> </w:t>
      </w:r>
    </w:p>
    <w:p w:rsidR="00E130BC" w:rsidRDefault="000217C1" w:rsidP="00E130BC">
      <w:pPr>
        <w:pStyle w:val="AHPRAbodyContextparanumbered"/>
        <w:numPr>
          <w:ilvl w:val="0"/>
          <w:numId w:val="25"/>
        </w:numPr>
        <w:rPr>
          <w:szCs w:val="20"/>
        </w:rPr>
      </w:pPr>
      <w:r>
        <w:rPr>
          <w:szCs w:val="20"/>
        </w:rPr>
        <w:lastRenderedPageBreak/>
        <w:t xml:space="preserve">its use is permitted by the </w:t>
      </w:r>
      <w:r w:rsidR="00E130BC" w:rsidRPr="00E130BC">
        <w:rPr>
          <w:szCs w:val="20"/>
        </w:rPr>
        <w:t>Health Practitioner Regulation National Law,</w:t>
      </w:r>
      <w:r>
        <w:rPr>
          <w:szCs w:val="20"/>
        </w:rPr>
        <w:t xml:space="preserve"> as in force in each state and </w:t>
      </w:r>
      <w:r w:rsidR="003C0DB0">
        <w:rPr>
          <w:szCs w:val="20"/>
        </w:rPr>
        <w:t>t</w:t>
      </w:r>
      <w:r>
        <w:rPr>
          <w:szCs w:val="20"/>
        </w:rPr>
        <w:t>erritory</w:t>
      </w:r>
      <w:r w:rsidR="003C0DB0">
        <w:rPr>
          <w:szCs w:val="20"/>
        </w:rPr>
        <w:t xml:space="preserve"> (the National Law)</w:t>
      </w:r>
      <w:r>
        <w:rPr>
          <w:szCs w:val="20"/>
        </w:rPr>
        <w:t xml:space="preserve">, or </w:t>
      </w:r>
    </w:p>
    <w:p w:rsidR="00E130BC" w:rsidRDefault="000217C1" w:rsidP="00E130BC">
      <w:pPr>
        <w:pStyle w:val="AHPRAbodyContextparanumbered"/>
        <w:numPr>
          <w:ilvl w:val="0"/>
          <w:numId w:val="25"/>
        </w:numPr>
        <w:rPr>
          <w:szCs w:val="20"/>
        </w:rPr>
      </w:pPr>
      <w:r>
        <w:rPr>
          <w:szCs w:val="20"/>
        </w:rPr>
        <w:t>it is part of an approved registration standard</w:t>
      </w:r>
      <w:r w:rsidR="003C0DB0">
        <w:rPr>
          <w:szCs w:val="20"/>
        </w:rPr>
        <w:t>.</w:t>
      </w:r>
    </w:p>
    <w:p w:rsidR="000217C1" w:rsidRPr="003F4B20" w:rsidRDefault="000217C1" w:rsidP="009D19A9">
      <w:pPr>
        <w:pStyle w:val="AHPRAbodyContextparanumbered"/>
        <w:ind w:left="0" w:hanging="425"/>
        <w:rPr>
          <w:szCs w:val="20"/>
        </w:rPr>
      </w:pPr>
      <w:r>
        <w:rPr>
          <w:szCs w:val="20"/>
        </w:rPr>
        <w:t xml:space="preserve">The </w:t>
      </w:r>
      <w:hyperlink r:id="rId30" w:history="1">
        <w:r w:rsidR="003C0DB0">
          <w:rPr>
            <w:rStyle w:val="Hyperlink"/>
            <w:szCs w:val="20"/>
          </w:rPr>
          <w:t>r</w:t>
        </w:r>
        <w:r w:rsidRPr="003F4B20">
          <w:rPr>
            <w:rStyle w:val="Hyperlink"/>
            <w:szCs w:val="20"/>
          </w:rPr>
          <w:t>egulatory principles for the National Scheme</w:t>
        </w:r>
      </w:hyperlink>
      <w:r>
        <w:rPr>
          <w:szCs w:val="20"/>
        </w:rPr>
        <w:t xml:space="preserve"> guide the Board in its decision</w:t>
      </w:r>
      <w:r w:rsidR="003C0DB0">
        <w:rPr>
          <w:szCs w:val="20"/>
        </w:rPr>
        <w:t>-</w:t>
      </w:r>
      <w:r>
        <w:rPr>
          <w:szCs w:val="20"/>
        </w:rPr>
        <w:t>making, including decisions where a practitioner, or a class of practitioners, may be required to undertake an examination.</w:t>
      </w:r>
      <w:r w:rsidRPr="003F4B20">
        <w:rPr>
          <w:szCs w:val="20"/>
        </w:rPr>
        <w:t xml:space="preserve"> </w:t>
      </w:r>
    </w:p>
    <w:p w:rsidR="000217C1" w:rsidRDefault="000217C1" w:rsidP="000217C1">
      <w:pPr>
        <w:pStyle w:val="AHPRAbodyContextparanumbered"/>
        <w:ind w:left="0" w:hanging="425"/>
        <w:rPr>
          <w:szCs w:val="20"/>
        </w:rPr>
      </w:pPr>
      <w:r>
        <w:rPr>
          <w:szCs w:val="20"/>
          <w:u w:val="single"/>
        </w:rPr>
        <w:t>Importantly</w:t>
      </w:r>
      <w:r w:rsidRPr="0092094B">
        <w:rPr>
          <w:szCs w:val="20"/>
        </w:rPr>
        <w:t xml:space="preserve">, </w:t>
      </w:r>
      <w:r>
        <w:rPr>
          <w:szCs w:val="20"/>
        </w:rPr>
        <w:t xml:space="preserve">the Board does not intend to use the examination as a general </w:t>
      </w:r>
      <w:r w:rsidR="003C0DB0">
        <w:rPr>
          <w:szCs w:val="20"/>
        </w:rPr>
        <w:t xml:space="preserve">assessment </w:t>
      </w:r>
      <w:r>
        <w:rPr>
          <w:szCs w:val="20"/>
        </w:rPr>
        <w:t xml:space="preserve">mechanism for practitioners that </w:t>
      </w:r>
      <w:r w:rsidR="00EB019D">
        <w:rPr>
          <w:szCs w:val="20"/>
        </w:rPr>
        <w:t>are</w:t>
      </w:r>
      <w:r>
        <w:rPr>
          <w:szCs w:val="20"/>
        </w:rPr>
        <w:t xml:space="preserve"> </w:t>
      </w:r>
      <w:r w:rsidR="00EB019D" w:rsidRPr="00EB019D">
        <w:rPr>
          <w:i/>
          <w:szCs w:val="20"/>
        </w:rPr>
        <w:t>qualified</w:t>
      </w:r>
      <w:r w:rsidR="00EB019D">
        <w:rPr>
          <w:rStyle w:val="FootnoteReference"/>
          <w:i/>
          <w:szCs w:val="20"/>
        </w:rPr>
        <w:footnoteReference w:id="4"/>
      </w:r>
      <w:r w:rsidRPr="00EB019D">
        <w:rPr>
          <w:szCs w:val="20"/>
        </w:rPr>
        <w:t xml:space="preserve"> </w:t>
      </w:r>
      <w:r>
        <w:rPr>
          <w:szCs w:val="20"/>
        </w:rPr>
        <w:t>for general registration (which includes those practitioners who are granted provisional registration). The examination is intended to be used where specific circumstances require a more detailed and objective assessment of a practitioner’s capability to practi</w:t>
      </w:r>
      <w:r w:rsidR="003C0DB0">
        <w:rPr>
          <w:szCs w:val="20"/>
        </w:rPr>
        <w:t>s</w:t>
      </w:r>
      <w:r>
        <w:rPr>
          <w:szCs w:val="20"/>
        </w:rPr>
        <w:t>e in the profession. The Board will consider using an examination</w:t>
      </w:r>
      <w:r w:rsidR="004F382B">
        <w:rPr>
          <w:szCs w:val="20"/>
        </w:rPr>
        <w:t xml:space="preserve"> </w:t>
      </w:r>
      <w:r>
        <w:rPr>
          <w:szCs w:val="20"/>
        </w:rPr>
        <w:t>where</w:t>
      </w:r>
      <w:r w:rsidR="003C0DB0">
        <w:rPr>
          <w:szCs w:val="20"/>
        </w:rPr>
        <w:t>:</w:t>
      </w:r>
    </w:p>
    <w:p w:rsidR="000217C1" w:rsidRPr="002A2431" w:rsidRDefault="000217C1" w:rsidP="009D19A9">
      <w:pPr>
        <w:pStyle w:val="ListParagraph"/>
        <w:numPr>
          <w:ilvl w:val="0"/>
          <w:numId w:val="15"/>
        </w:numPr>
        <w:rPr>
          <w:rFonts w:ascii="Arial" w:hAnsi="Arial" w:cs="Arial"/>
          <w:sz w:val="20"/>
          <w:szCs w:val="20"/>
        </w:rPr>
      </w:pPr>
      <w:r w:rsidRPr="002A2431">
        <w:rPr>
          <w:rFonts w:ascii="Arial" w:hAnsi="Arial" w:cs="Arial"/>
          <w:sz w:val="20"/>
          <w:szCs w:val="20"/>
        </w:rPr>
        <w:t xml:space="preserve">a practitioner is not </w:t>
      </w:r>
      <w:r w:rsidRPr="00EB019D">
        <w:rPr>
          <w:rFonts w:ascii="Arial" w:hAnsi="Arial" w:cs="Arial"/>
          <w:i/>
          <w:sz w:val="20"/>
          <w:szCs w:val="20"/>
        </w:rPr>
        <w:t>qualified</w:t>
      </w:r>
      <w:r w:rsidRPr="002A2431">
        <w:rPr>
          <w:rFonts w:ascii="Arial" w:hAnsi="Arial" w:cs="Arial"/>
          <w:sz w:val="20"/>
          <w:szCs w:val="20"/>
        </w:rPr>
        <w:t xml:space="preserve"> for general registration</w:t>
      </w:r>
      <w:r>
        <w:rPr>
          <w:rFonts w:ascii="Arial" w:hAnsi="Arial" w:cs="Arial"/>
          <w:sz w:val="20"/>
          <w:szCs w:val="20"/>
        </w:rPr>
        <w:t xml:space="preserve"> under s</w:t>
      </w:r>
      <w:r w:rsidR="003C0DB0">
        <w:rPr>
          <w:rFonts w:ascii="Arial" w:hAnsi="Arial" w:cs="Arial"/>
          <w:sz w:val="20"/>
          <w:szCs w:val="20"/>
        </w:rPr>
        <w:t xml:space="preserve">ection </w:t>
      </w:r>
      <w:r>
        <w:rPr>
          <w:rFonts w:ascii="Arial" w:hAnsi="Arial" w:cs="Arial"/>
          <w:sz w:val="20"/>
          <w:szCs w:val="20"/>
        </w:rPr>
        <w:t xml:space="preserve">53 of the National Law </w:t>
      </w:r>
    </w:p>
    <w:p w:rsidR="000217C1" w:rsidRDefault="000217C1" w:rsidP="009D19A9">
      <w:pPr>
        <w:pStyle w:val="ListParagraph"/>
        <w:numPr>
          <w:ilvl w:val="0"/>
          <w:numId w:val="15"/>
        </w:numPr>
        <w:rPr>
          <w:rFonts w:ascii="Arial" w:hAnsi="Arial" w:cs="Arial"/>
          <w:sz w:val="20"/>
          <w:szCs w:val="20"/>
        </w:rPr>
      </w:pPr>
      <w:r w:rsidRPr="002A2431">
        <w:rPr>
          <w:rFonts w:ascii="Arial" w:hAnsi="Arial" w:cs="Arial"/>
          <w:sz w:val="20"/>
          <w:szCs w:val="20"/>
        </w:rPr>
        <w:t>there are concerns about a practitioner’s capacity to practi</w:t>
      </w:r>
      <w:r w:rsidR="00701E2E">
        <w:rPr>
          <w:rFonts w:ascii="Arial" w:hAnsi="Arial" w:cs="Arial"/>
          <w:sz w:val="20"/>
          <w:szCs w:val="20"/>
        </w:rPr>
        <w:t>s</w:t>
      </w:r>
      <w:r w:rsidRPr="002A2431">
        <w:rPr>
          <w:rFonts w:ascii="Arial" w:hAnsi="Arial" w:cs="Arial"/>
          <w:sz w:val="20"/>
          <w:szCs w:val="20"/>
        </w:rPr>
        <w:t>e safely while under supervision</w:t>
      </w:r>
      <w:r w:rsidR="00701E2E">
        <w:rPr>
          <w:rFonts w:ascii="Arial" w:hAnsi="Arial" w:cs="Arial"/>
          <w:sz w:val="20"/>
          <w:szCs w:val="20"/>
        </w:rPr>
        <w:t>, or</w:t>
      </w:r>
    </w:p>
    <w:p w:rsidR="004F382B" w:rsidRDefault="004F382B" w:rsidP="009D19A9">
      <w:pPr>
        <w:pStyle w:val="ListParagraph"/>
        <w:numPr>
          <w:ilvl w:val="0"/>
          <w:numId w:val="15"/>
        </w:numPr>
        <w:rPr>
          <w:rFonts w:ascii="Arial" w:hAnsi="Arial" w:cs="Arial"/>
          <w:sz w:val="20"/>
          <w:szCs w:val="20"/>
        </w:rPr>
      </w:pPr>
      <w:r>
        <w:rPr>
          <w:rFonts w:ascii="Arial" w:hAnsi="Arial" w:cs="Arial"/>
          <w:sz w:val="20"/>
          <w:szCs w:val="20"/>
        </w:rPr>
        <w:t>an approved registration standard makes provision for an examination</w:t>
      </w:r>
      <w:r w:rsidR="00701E2E">
        <w:rPr>
          <w:rFonts w:ascii="Arial" w:hAnsi="Arial" w:cs="Arial"/>
          <w:sz w:val="20"/>
          <w:szCs w:val="20"/>
        </w:rPr>
        <w:t>.</w:t>
      </w:r>
    </w:p>
    <w:p w:rsidR="00014178" w:rsidRPr="00E53EAF" w:rsidRDefault="00014178" w:rsidP="000217C1">
      <w:pPr>
        <w:pStyle w:val="AHPRAbodyContextparanumbered"/>
        <w:ind w:left="0" w:hanging="425"/>
        <w:rPr>
          <w:szCs w:val="20"/>
        </w:rPr>
      </w:pPr>
      <w:r w:rsidRPr="00E53EAF">
        <w:rPr>
          <w:szCs w:val="20"/>
        </w:rPr>
        <w:t xml:space="preserve">Medical </w:t>
      </w:r>
      <w:r w:rsidR="00023D4A">
        <w:rPr>
          <w:szCs w:val="20"/>
        </w:rPr>
        <w:t>r</w:t>
      </w:r>
      <w:r w:rsidRPr="00E53EAF">
        <w:rPr>
          <w:szCs w:val="20"/>
        </w:rPr>
        <w:t>adiation practitioners registered with th</w:t>
      </w:r>
      <w:r w:rsidR="00161C94">
        <w:rPr>
          <w:szCs w:val="20"/>
        </w:rPr>
        <w:t xml:space="preserve">e New Zealand Medical Radiation </w:t>
      </w:r>
      <w:r w:rsidRPr="00E53EAF">
        <w:rPr>
          <w:szCs w:val="20"/>
        </w:rPr>
        <w:t xml:space="preserve">Technologists Board </w:t>
      </w:r>
      <w:r w:rsidR="00AC3A91">
        <w:rPr>
          <w:szCs w:val="20"/>
        </w:rPr>
        <w:t>who</w:t>
      </w:r>
      <w:r w:rsidRPr="00E53EAF">
        <w:rPr>
          <w:szCs w:val="20"/>
        </w:rPr>
        <w:t xml:space="preserve"> hold a current practi</w:t>
      </w:r>
      <w:r w:rsidR="00023D4A">
        <w:rPr>
          <w:szCs w:val="20"/>
        </w:rPr>
        <w:t>s</w:t>
      </w:r>
      <w:r w:rsidRPr="00E53EAF">
        <w:rPr>
          <w:szCs w:val="20"/>
        </w:rPr>
        <w:t>ing certificate</w:t>
      </w:r>
      <w:r w:rsidR="00701E2E">
        <w:rPr>
          <w:szCs w:val="20"/>
        </w:rPr>
        <w:t>,</w:t>
      </w:r>
      <w:r w:rsidRPr="00E53EAF">
        <w:rPr>
          <w:szCs w:val="20"/>
        </w:rPr>
        <w:t xml:space="preserve"> </w:t>
      </w:r>
      <w:r w:rsidR="00AC3A91">
        <w:rPr>
          <w:szCs w:val="20"/>
        </w:rPr>
        <w:t xml:space="preserve">and </w:t>
      </w:r>
      <w:r w:rsidRPr="00E53EAF">
        <w:rPr>
          <w:szCs w:val="20"/>
        </w:rPr>
        <w:t>who</w:t>
      </w:r>
      <w:r w:rsidR="00161C94">
        <w:rPr>
          <w:szCs w:val="20"/>
        </w:rPr>
        <w:t xml:space="preserve"> apply for general registration, </w:t>
      </w:r>
      <w:r w:rsidRPr="00E53EAF">
        <w:rPr>
          <w:szCs w:val="20"/>
        </w:rPr>
        <w:t>are exempt from sitting the examination in line with the requirements of the Trans-Tasman Mutual Recognition arrangement.</w:t>
      </w:r>
    </w:p>
    <w:p w:rsidR="00014178" w:rsidRPr="00E53EAF" w:rsidRDefault="006D12B3" w:rsidP="00F50DAC">
      <w:pPr>
        <w:pStyle w:val="AHPRAbodyContextparanumbered"/>
        <w:ind w:left="0" w:hanging="425"/>
        <w:rPr>
          <w:szCs w:val="20"/>
        </w:rPr>
      </w:pPr>
      <w:r>
        <w:rPr>
          <w:szCs w:val="20"/>
        </w:rPr>
        <w:t>The examination will be used to establish a form of equivalence in professional capability to practi</w:t>
      </w:r>
      <w:r w:rsidR="00701E2E">
        <w:rPr>
          <w:szCs w:val="20"/>
        </w:rPr>
        <w:t>s</w:t>
      </w:r>
      <w:r>
        <w:rPr>
          <w:szCs w:val="20"/>
        </w:rPr>
        <w:t xml:space="preserve">e, and therefore meet the </w:t>
      </w:r>
      <w:r w:rsidRPr="006D12B3">
        <w:rPr>
          <w:i/>
          <w:szCs w:val="20"/>
        </w:rPr>
        <w:t>qualification</w:t>
      </w:r>
      <w:r>
        <w:rPr>
          <w:szCs w:val="20"/>
        </w:rPr>
        <w:t xml:space="preserve"> requirements for general registration under s</w:t>
      </w:r>
      <w:r w:rsidR="00701E2E">
        <w:rPr>
          <w:szCs w:val="20"/>
        </w:rPr>
        <w:t xml:space="preserve">ection </w:t>
      </w:r>
      <w:r>
        <w:rPr>
          <w:szCs w:val="20"/>
        </w:rPr>
        <w:t xml:space="preserve">53 of the National Law. </w:t>
      </w:r>
      <w:r w:rsidRPr="00E53EAF">
        <w:rPr>
          <w:szCs w:val="20"/>
        </w:rPr>
        <w:t>The capability required for professional practice is a multi-faceted concept tha</w:t>
      </w:r>
      <w:r>
        <w:rPr>
          <w:szCs w:val="20"/>
        </w:rPr>
        <w:t xml:space="preserve">t requires a holistic approach, as such there may be other </w:t>
      </w:r>
      <w:r w:rsidRPr="006D12B3">
        <w:rPr>
          <w:i/>
          <w:szCs w:val="20"/>
        </w:rPr>
        <w:t>eligibility</w:t>
      </w:r>
      <w:r>
        <w:rPr>
          <w:szCs w:val="20"/>
        </w:rPr>
        <w:t xml:space="preserve"> criteria (apart from a qualification) required for general registration.   </w:t>
      </w:r>
    </w:p>
    <w:p w:rsidR="00014178" w:rsidRPr="00E53EAF" w:rsidRDefault="00014178" w:rsidP="009753CC">
      <w:pPr>
        <w:spacing w:after="200" w:line="240" w:lineRule="auto"/>
        <w:rPr>
          <w:rFonts w:ascii="Arial" w:eastAsia="Times New Roman" w:hAnsi="Arial" w:cs="Times New Roman"/>
          <w:b/>
          <w:color w:val="007DC3"/>
          <w:sz w:val="20"/>
          <w:szCs w:val="24"/>
        </w:rPr>
      </w:pPr>
      <w:r w:rsidRPr="00E53EAF">
        <w:rPr>
          <w:rFonts w:ascii="Arial" w:eastAsia="Times New Roman" w:hAnsi="Arial" w:cs="Times New Roman"/>
          <w:b/>
          <w:color w:val="007DC3"/>
          <w:sz w:val="20"/>
          <w:szCs w:val="24"/>
        </w:rPr>
        <w:t>Structure of the examination</w:t>
      </w:r>
    </w:p>
    <w:p w:rsidR="00014178" w:rsidRPr="00E53EAF" w:rsidRDefault="00014178" w:rsidP="005769C0">
      <w:pPr>
        <w:pStyle w:val="AHPRAbodyContextparanumbered"/>
        <w:ind w:left="0" w:hanging="425"/>
        <w:rPr>
          <w:szCs w:val="20"/>
        </w:rPr>
      </w:pPr>
      <w:r w:rsidRPr="00E53EAF">
        <w:rPr>
          <w:szCs w:val="20"/>
        </w:rPr>
        <w:t>The exam is a computer</w:t>
      </w:r>
      <w:r w:rsidR="00AC3A91">
        <w:rPr>
          <w:szCs w:val="20"/>
        </w:rPr>
        <w:t>ised</w:t>
      </w:r>
      <w:r w:rsidRPr="00E53EAF">
        <w:rPr>
          <w:szCs w:val="20"/>
        </w:rPr>
        <w:t xml:space="preserve"> multiple choice question (MCQ) format. The multiple</w:t>
      </w:r>
      <w:r w:rsidR="00AC3A91">
        <w:rPr>
          <w:szCs w:val="20"/>
        </w:rPr>
        <w:t xml:space="preserve"> </w:t>
      </w:r>
      <w:r w:rsidRPr="00E53EAF">
        <w:rPr>
          <w:szCs w:val="20"/>
        </w:rPr>
        <w:t>choice question format is a form of assessment in which respondents are asked to select the best possible answer out of a number of choices.</w:t>
      </w:r>
    </w:p>
    <w:p w:rsidR="00014178" w:rsidRPr="00E53EAF" w:rsidRDefault="00014178" w:rsidP="005769C0">
      <w:pPr>
        <w:pStyle w:val="AHPRAbodyContextparanumbered"/>
        <w:ind w:left="0" w:hanging="425"/>
        <w:rPr>
          <w:szCs w:val="20"/>
        </w:rPr>
      </w:pPr>
      <w:r w:rsidRPr="00E53EAF">
        <w:rPr>
          <w:szCs w:val="20"/>
        </w:rPr>
        <w:t xml:space="preserve">The exam is </w:t>
      </w:r>
      <w:r w:rsidR="006D0BB1">
        <w:rPr>
          <w:szCs w:val="20"/>
        </w:rPr>
        <w:t>three hours</w:t>
      </w:r>
      <w:r w:rsidRPr="00E53EAF">
        <w:rPr>
          <w:szCs w:val="20"/>
        </w:rPr>
        <w:t xml:space="preserve"> (</w:t>
      </w:r>
      <w:r w:rsidR="004F324C">
        <w:rPr>
          <w:szCs w:val="20"/>
        </w:rPr>
        <w:t>180</w:t>
      </w:r>
      <w:r w:rsidRPr="00E53EAF">
        <w:rPr>
          <w:szCs w:val="20"/>
        </w:rPr>
        <w:t xml:space="preserve"> minutes)</w:t>
      </w:r>
      <w:r w:rsidR="00AC3A91">
        <w:rPr>
          <w:szCs w:val="20"/>
        </w:rPr>
        <w:t xml:space="preserve"> long.</w:t>
      </w:r>
      <w:r w:rsidRPr="00E53EAF">
        <w:rPr>
          <w:szCs w:val="20"/>
        </w:rPr>
        <w:t xml:space="preserve"> </w:t>
      </w:r>
      <w:r w:rsidR="00AC3A91">
        <w:rPr>
          <w:szCs w:val="20"/>
        </w:rPr>
        <w:t>However,</w:t>
      </w:r>
      <w:r w:rsidRPr="00E53EAF">
        <w:rPr>
          <w:szCs w:val="20"/>
        </w:rPr>
        <w:t xml:space="preserve"> candidates are required to be available for a total of </w:t>
      </w:r>
      <w:r w:rsidR="00AC3A91">
        <w:rPr>
          <w:szCs w:val="20"/>
        </w:rPr>
        <w:t>four</w:t>
      </w:r>
      <w:r w:rsidRPr="00E53EAF">
        <w:rPr>
          <w:szCs w:val="20"/>
        </w:rPr>
        <w:t xml:space="preserve"> hours to complete registration procedures, a pre-testing phase and post-examination administration activities. </w:t>
      </w:r>
    </w:p>
    <w:p w:rsidR="00014178" w:rsidRPr="00E53EAF" w:rsidRDefault="00014178" w:rsidP="00014178">
      <w:pPr>
        <w:spacing w:after="120" w:line="276" w:lineRule="auto"/>
        <w:rPr>
          <w:rFonts w:ascii="Arial" w:hAnsi="Arial" w:cs="Arial"/>
          <w:sz w:val="20"/>
          <w:szCs w:val="20"/>
        </w:rPr>
      </w:pPr>
      <w:r w:rsidRPr="00E53EAF">
        <w:rPr>
          <w:rFonts w:ascii="Arial" w:hAnsi="Arial" w:cs="Arial"/>
          <w:sz w:val="20"/>
          <w:szCs w:val="20"/>
        </w:rPr>
        <w:t>The examination will contain up to 200 questions that can be separated into two broad categories</w:t>
      </w:r>
      <w:r w:rsidR="00AC3A91">
        <w:rPr>
          <w:rFonts w:ascii="Arial" w:hAnsi="Arial" w:cs="Arial"/>
          <w:sz w:val="20"/>
          <w:szCs w:val="20"/>
        </w:rPr>
        <w:t>:</w:t>
      </w:r>
      <w:r w:rsidRPr="00E53EAF">
        <w:rPr>
          <w:rFonts w:ascii="Arial" w:hAnsi="Arial" w:cs="Arial"/>
          <w:sz w:val="20"/>
          <w:szCs w:val="20"/>
        </w:rPr>
        <w:t xml:space="preserve"> </w:t>
      </w:r>
    </w:p>
    <w:p w:rsidR="00014178" w:rsidRPr="00E53EAF" w:rsidRDefault="00AC3A91" w:rsidP="009D19A9">
      <w:pPr>
        <w:pStyle w:val="ListParagraph"/>
        <w:numPr>
          <w:ilvl w:val="0"/>
          <w:numId w:val="8"/>
        </w:numPr>
        <w:spacing w:after="120" w:line="276" w:lineRule="auto"/>
        <w:rPr>
          <w:rFonts w:ascii="Arial" w:hAnsi="Arial" w:cs="Arial"/>
          <w:sz w:val="20"/>
        </w:rPr>
      </w:pPr>
      <w:r>
        <w:rPr>
          <w:rFonts w:ascii="Arial" w:hAnsi="Arial" w:cs="Arial"/>
          <w:sz w:val="20"/>
        </w:rPr>
        <w:t>about</w:t>
      </w:r>
      <w:r w:rsidR="00014178" w:rsidRPr="00E53EAF">
        <w:rPr>
          <w:rFonts w:ascii="Arial" w:hAnsi="Arial" w:cs="Arial"/>
          <w:sz w:val="20"/>
        </w:rPr>
        <w:t xml:space="preserve"> 50</w:t>
      </w:r>
      <w:r>
        <w:rPr>
          <w:rFonts w:ascii="Arial" w:hAnsi="Arial" w:cs="Arial"/>
          <w:sz w:val="20"/>
        </w:rPr>
        <w:t xml:space="preserve"> per</w:t>
      </w:r>
      <w:r w:rsidR="00701E2E">
        <w:rPr>
          <w:rFonts w:ascii="Arial" w:hAnsi="Arial" w:cs="Arial"/>
          <w:sz w:val="20"/>
        </w:rPr>
        <w:t xml:space="preserve"> </w:t>
      </w:r>
      <w:r>
        <w:rPr>
          <w:rFonts w:ascii="Arial" w:hAnsi="Arial" w:cs="Arial"/>
          <w:sz w:val="20"/>
        </w:rPr>
        <w:t>cent</w:t>
      </w:r>
      <w:r w:rsidR="00014178" w:rsidRPr="00E53EAF">
        <w:rPr>
          <w:rFonts w:ascii="Arial" w:hAnsi="Arial" w:cs="Arial"/>
          <w:sz w:val="20"/>
        </w:rPr>
        <w:t xml:space="preserve"> of questions will come from the practice area relevant to the division of registration, that is:</w:t>
      </w:r>
    </w:p>
    <w:p w:rsidR="00E130BC" w:rsidRDefault="00014178" w:rsidP="00E130BC">
      <w:pPr>
        <w:pStyle w:val="ListParagraph"/>
        <w:numPr>
          <w:ilvl w:val="1"/>
          <w:numId w:val="26"/>
        </w:numPr>
        <w:spacing w:after="0" w:line="276" w:lineRule="auto"/>
        <w:rPr>
          <w:rFonts w:ascii="Arial" w:hAnsi="Arial" w:cs="Arial"/>
          <w:sz w:val="20"/>
        </w:rPr>
      </w:pPr>
      <w:r w:rsidRPr="00E53EAF">
        <w:rPr>
          <w:rFonts w:ascii="Arial" w:hAnsi="Arial" w:cs="Arial"/>
          <w:sz w:val="20"/>
        </w:rPr>
        <w:t xml:space="preserve">Domain 5a </w:t>
      </w:r>
      <w:r w:rsidR="00701E2E">
        <w:rPr>
          <w:rFonts w:ascii="Arial" w:hAnsi="Arial" w:cs="Arial"/>
          <w:sz w:val="20"/>
        </w:rPr>
        <w:t>D</w:t>
      </w:r>
      <w:r w:rsidRPr="00E53EAF">
        <w:rPr>
          <w:rFonts w:ascii="Arial" w:hAnsi="Arial" w:cs="Arial"/>
          <w:sz w:val="20"/>
        </w:rPr>
        <w:t xml:space="preserve">iagnostic </w:t>
      </w:r>
      <w:r w:rsidR="00971B6A">
        <w:rPr>
          <w:rFonts w:ascii="Arial" w:hAnsi="Arial" w:cs="Arial"/>
          <w:sz w:val="20"/>
        </w:rPr>
        <w:t>r</w:t>
      </w:r>
      <w:r w:rsidRPr="00E53EAF">
        <w:rPr>
          <w:rFonts w:ascii="Arial" w:hAnsi="Arial" w:cs="Arial"/>
          <w:sz w:val="20"/>
        </w:rPr>
        <w:t>adiography questions</w:t>
      </w:r>
      <w:r w:rsidR="00971B6A">
        <w:rPr>
          <w:rFonts w:ascii="Arial" w:hAnsi="Arial" w:cs="Arial"/>
          <w:sz w:val="20"/>
        </w:rPr>
        <w:t>,</w:t>
      </w:r>
      <w:r w:rsidRPr="00E53EAF">
        <w:rPr>
          <w:rFonts w:ascii="Arial" w:hAnsi="Arial" w:cs="Arial"/>
          <w:sz w:val="20"/>
        </w:rPr>
        <w:t xml:space="preserve"> or</w:t>
      </w:r>
    </w:p>
    <w:p w:rsidR="00E130BC" w:rsidRDefault="00014178" w:rsidP="00E130BC">
      <w:pPr>
        <w:pStyle w:val="ListParagraph"/>
        <w:numPr>
          <w:ilvl w:val="1"/>
          <w:numId w:val="26"/>
        </w:numPr>
        <w:spacing w:after="0" w:line="276" w:lineRule="auto"/>
        <w:rPr>
          <w:rFonts w:ascii="Arial" w:hAnsi="Arial" w:cs="Arial"/>
          <w:sz w:val="20"/>
        </w:rPr>
      </w:pPr>
      <w:r w:rsidRPr="00E53EAF">
        <w:rPr>
          <w:rFonts w:ascii="Arial" w:hAnsi="Arial" w:cs="Arial"/>
          <w:sz w:val="20"/>
        </w:rPr>
        <w:t xml:space="preserve">Domain 5b </w:t>
      </w:r>
      <w:r w:rsidR="00701E2E">
        <w:rPr>
          <w:rFonts w:ascii="Arial" w:hAnsi="Arial" w:cs="Arial"/>
          <w:sz w:val="20"/>
        </w:rPr>
        <w:t>N</w:t>
      </w:r>
      <w:r w:rsidRPr="00E53EAF">
        <w:rPr>
          <w:rFonts w:ascii="Arial" w:hAnsi="Arial" w:cs="Arial"/>
          <w:sz w:val="20"/>
        </w:rPr>
        <w:t xml:space="preserve">uclear </w:t>
      </w:r>
      <w:r w:rsidR="00971B6A">
        <w:rPr>
          <w:rFonts w:ascii="Arial" w:hAnsi="Arial" w:cs="Arial"/>
          <w:sz w:val="20"/>
        </w:rPr>
        <w:t>m</w:t>
      </w:r>
      <w:r w:rsidRPr="00E53EAF">
        <w:rPr>
          <w:rFonts w:ascii="Arial" w:hAnsi="Arial" w:cs="Arial"/>
          <w:sz w:val="20"/>
        </w:rPr>
        <w:t xml:space="preserve">edicine </w:t>
      </w:r>
      <w:r w:rsidR="00971B6A">
        <w:rPr>
          <w:rFonts w:ascii="Arial" w:hAnsi="Arial" w:cs="Arial"/>
          <w:sz w:val="20"/>
        </w:rPr>
        <w:t>t</w:t>
      </w:r>
      <w:r w:rsidRPr="00E53EAF">
        <w:rPr>
          <w:rFonts w:ascii="Arial" w:hAnsi="Arial" w:cs="Arial"/>
          <w:sz w:val="20"/>
        </w:rPr>
        <w:t>echnology questions</w:t>
      </w:r>
      <w:r w:rsidR="00971B6A">
        <w:rPr>
          <w:rFonts w:ascii="Arial" w:hAnsi="Arial" w:cs="Arial"/>
          <w:sz w:val="20"/>
        </w:rPr>
        <w:t>,</w:t>
      </w:r>
      <w:r w:rsidRPr="00E53EAF">
        <w:rPr>
          <w:rFonts w:ascii="Arial" w:hAnsi="Arial" w:cs="Arial"/>
          <w:sz w:val="20"/>
        </w:rPr>
        <w:t xml:space="preserve"> or</w:t>
      </w:r>
    </w:p>
    <w:p w:rsidR="00E130BC" w:rsidRDefault="00014178" w:rsidP="00E130BC">
      <w:pPr>
        <w:pStyle w:val="ListParagraph"/>
        <w:numPr>
          <w:ilvl w:val="1"/>
          <w:numId w:val="26"/>
        </w:numPr>
        <w:spacing w:after="0" w:line="276" w:lineRule="auto"/>
        <w:rPr>
          <w:rFonts w:ascii="Arial" w:hAnsi="Arial" w:cs="Arial"/>
          <w:sz w:val="20"/>
        </w:rPr>
      </w:pPr>
      <w:r w:rsidRPr="00E53EAF">
        <w:rPr>
          <w:rFonts w:ascii="Arial" w:hAnsi="Arial" w:cs="Arial"/>
          <w:sz w:val="20"/>
        </w:rPr>
        <w:t xml:space="preserve">Domain 5c </w:t>
      </w:r>
      <w:r w:rsidR="00701E2E">
        <w:rPr>
          <w:rFonts w:ascii="Arial" w:hAnsi="Arial" w:cs="Arial"/>
          <w:sz w:val="20"/>
        </w:rPr>
        <w:t>R</w:t>
      </w:r>
      <w:r w:rsidRPr="00E53EAF">
        <w:rPr>
          <w:rFonts w:ascii="Arial" w:hAnsi="Arial" w:cs="Arial"/>
          <w:sz w:val="20"/>
        </w:rPr>
        <w:t xml:space="preserve">adiation </w:t>
      </w:r>
      <w:r w:rsidR="00971B6A">
        <w:rPr>
          <w:rFonts w:ascii="Arial" w:hAnsi="Arial" w:cs="Arial"/>
          <w:sz w:val="20"/>
        </w:rPr>
        <w:t>t</w:t>
      </w:r>
      <w:r w:rsidRPr="00E53EAF">
        <w:rPr>
          <w:rFonts w:ascii="Arial" w:hAnsi="Arial" w:cs="Arial"/>
          <w:sz w:val="20"/>
        </w:rPr>
        <w:t>herapy questions</w:t>
      </w:r>
    </w:p>
    <w:p w:rsidR="00014178" w:rsidRPr="00F54ADC" w:rsidRDefault="00701E2E" w:rsidP="00F54ADC">
      <w:pPr>
        <w:spacing w:before="120" w:after="120" w:line="240" w:lineRule="auto"/>
        <w:ind w:left="720"/>
        <w:rPr>
          <w:rFonts w:ascii="Arial" w:hAnsi="Arial" w:cs="Arial"/>
          <w:sz w:val="20"/>
        </w:rPr>
      </w:pPr>
      <w:r>
        <w:rPr>
          <w:rFonts w:ascii="Arial" w:hAnsi="Arial" w:cs="Arial"/>
          <w:sz w:val="20"/>
        </w:rPr>
        <w:t>a</w:t>
      </w:r>
      <w:r w:rsidR="00F54ADC">
        <w:rPr>
          <w:rFonts w:ascii="Arial" w:hAnsi="Arial" w:cs="Arial"/>
          <w:sz w:val="20"/>
        </w:rPr>
        <w:t>nd,</w:t>
      </w:r>
    </w:p>
    <w:p w:rsidR="00A142D6" w:rsidRPr="00F54ADC" w:rsidRDefault="00F54ADC" w:rsidP="009D19A9">
      <w:pPr>
        <w:pStyle w:val="ListParagraph"/>
        <w:numPr>
          <w:ilvl w:val="0"/>
          <w:numId w:val="8"/>
        </w:numPr>
        <w:spacing w:after="120" w:line="276" w:lineRule="auto"/>
        <w:rPr>
          <w:rFonts w:ascii="Arial" w:hAnsi="Arial" w:cs="Arial"/>
          <w:sz w:val="20"/>
        </w:rPr>
      </w:pPr>
      <w:r>
        <w:rPr>
          <w:rFonts w:ascii="Arial" w:hAnsi="Arial" w:cs="Arial"/>
          <w:sz w:val="20"/>
        </w:rPr>
        <w:t>about</w:t>
      </w:r>
      <w:r w:rsidRPr="00E53EAF">
        <w:rPr>
          <w:rFonts w:ascii="Arial" w:hAnsi="Arial" w:cs="Arial"/>
          <w:sz w:val="20"/>
        </w:rPr>
        <w:t xml:space="preserve"> 50</w:t>
      </w:r>
      <w:r>
        <w:rPr>
          <w:rFonts w:ascii="Arial" w:hAnsi="Arial" w:cs="Arial"/>
          <w:sz w:val="20"/>
        </w:rPr>
        <w:t xml:space="preserve"> per</w:t>
      </w:r>
      <w:r w:rsidR="00701E2E">
        <w:rPr>
          <w:rFonts w:ascii="Arial" w:hAnsi="Arial" w:cs="Arial"/>
          <w:sz w:val="20"/>
        </w:rPr>
        <w:t xml:space="preserve"> </w:t>
      </w:r>
      <w:r>
        <w:rPr>
          <w:rFonts w:ascii="Arial" w:hAnsi="Arial" w:cs="Arial"/>
          <w:sz w:val="20"/>
        </w:rPr>
        <w:t>cent</w:t>
      </w:r>
      <w:r w:rsidRPr="00E53EAF">
        <w:rPr>
          <w:rFonts w:ascii="Arial" w:hAnsi="Arial" w:cs="Arial"/>
          <w:sz w:val="20"/>
        </w:rPr>
        <w:t xml:space="preserve"> of questions will come from Domains 1-5 (not including 5a, 5b, 5c) which are common capabilities for </w:t>
      </w:r>
      <w:r>
        <w:rPr>
          <w:rFonts w:ascii="Arial" w:hAnsi="Arial" w:cs="Arial"/>
          <w:sz w:val="20"/>
        </w:rPr>
        <w:t>m</w:t>
      </w:r>
      <w:r w:rsidRPr="00E53EAF">
        <w:rPr>
          <w:rFonts w:ascii="Arial" w:hAnsi="Arial" w:cs="Arial"/>
          <w:sz w:val="20"/>
        </w:rPr>
        <w:t xml:space="preserve">edical </w:t>
      </w:r>
      <w:r>
        <w:rPr>
          <w:rFonts w:ascii="Arial" w:hAnsi="Arial" w:cs="Arial"/>
          <w:sz w:val="20"/>
        </w:rPr>
        <w:t>radiation science.</w:t>
      </w:r>
    </w:p>
    <w:p w:rsidR="00014178" w:rsidRPr="00E53EAF" w:rsidRDefault="00014178" w:rsidP="005769C0">
      <w:pPr>
        <w:pStyle w:val="AHPRAbodyContextparanumbered"/>
        <w:ind w:left="0" w:hanging="425"/>
        <w:rPr>
          <w:szCs w:val="20"/>
        </w:rPr>
      </w:pPr>
      <w:r w:rsidRPr="00E53EAF">
        <w:rPr>
          <w:szCs w:val="20"/>
        </w:rPr>
        <w:t>Questions will not be evenly distributed across domains, for example, in any examination, there may be more questions from Domain 4</w:t>
      </w:r>
      <w:r w:rsidR="00971B6A">
        <w:rPr>
          <w:szCs w:val="20"/>
        </w:rPr>
        <w:t>:</w:t>
      </w:r>
      <w:r w:rsidRPr="00E53EAF">
        <w:rPr>
          <w:szCs w:val="20"/>
        </w:rPr>
        <w:t xml:space="preserve"> Radiation safety and </w:t>
      </w:r>
      <w:r w:rsidR="00971B6A">
        <w:rPr>
          <w:szCs w:val="20"/>
        </w:rPr>
        <w:t>r</w:t>
      </w:r>
      <w:r w:rsidRPr="00E53EAF">
        <w:rPr>
          <w:szCs w:val="20"/>
        </w:rPr>
        <w:t>isk management, than another domain.</w:t>
      </w:r>
    </w:p>
    <w:p w:rsidR="00014178" w:rsidRPr="00E53EAF" w:rsidRDefault="00014178" w:rsidP="005769C0">
      <w:pPr>
        <w:pStyle w:val="AHPRAbodyContextparanumbered"/>
        <w:ind w:left="0" w:hanging="425"/>
        <w:rPr>
          <w:szCs w:val="20"/>
        </w:rPr>
      </w:pPr>
      <w:r w:rsidRPr="00E53EAF">
        <w:rPr>
          <w:szCs w:val="20"/>
        </w:rPr>
        <w:t xml:space="preserve">The exam will include questions related to all levels of the human lifecycle including </w:t>
      </w:r>
      <w:r w:rsidRPr="00B60C69">
        <w:rPr>
          <w:i/>
          <w:szCs w:val="20"/>
        </w:rPr>
        <w:t>in</w:t>
      </w:r>
      <w:r w:rsidR="00701E2E">
        <w:rPr>
          <w:i/>
          <w:szCs w:val="20"/>
        </w:rPr>
        <w:t>-</w:t>
      </w:r>
      <w:r w:rsidRPr="00B60C69">
        <w:rPr>
          <w:i/>
          <w:szCs w:val="20"/>
        </w:rPr>
        <w:t>utero</w:t>
      </w:r>
      <w:r w:rsidRPr="00E53EAF">
        <w:rPr>
          <w:szCs w:val="20"/>
        </w:rPr>
        <w:t>, neo-natal, paediatric, adult and older adult. Exam questions will reflect health situations relevant to all these phases of the human lifecycle.</w:t>
      </w:r>
    </w:p>
    <w:p w:rsidR="00014178" w:rsidRPr="00E53EAF" w:rsidRDefault="00014178" w:rsidP="00014178">
      <w:pPr>
        <w:spacing w:after="120" w:line="276" w:lineRule="auto"/>
        <w:rPr>
          <w:rFonts w:ascii="Arial" w:hAnsi="Arial" w:cs="Arial"/>
          <w:sz w:val="20"/>
          <w:szCs w:val="20"/>
        </w:rPr>
      </w:pPr>
      <w:r w:rsidRPr="00E53EAF">
        <w:rPr>
          <w:rFonts w:ascii="Arial" w:hAnsi="Arial" w:cs="Arial"/>
          <w:sz w:val="20"/>
          <w:szCs w:val="20"/>
        </w:rPr>
        <w:lastRenderedPageBreak/>
        <w:t xml:space="preserve">Exam questions are mostly in the format of: </w:t>
      </w:r>
    </w:p>
    <w:p w:rsidR="00014178" w:rsidRPr="00E53EAF" w:rsidRDefault="00971B6A" w:rsidP="009D19A9">
      <w:pPr>
        <w:pStyle w:val="ListParagraph"/>
        <w:numPr>
          <w:ilvl w:val="0"/>
          <w:numId w:val="9"/>
        </w:numPr>
        <w:spacing w:after="120" w:line="276" w:lineRule="auto"/>
        <w:rPr>
          <w:rFonts w:ascii="Arial" w:hAnsi="Arial" w:cs="Arial"/>
          <w:sz w:val="20"/>
        </w:rPr>
      </w:pPr>
      <w:r>
        <w:rPr>
          <w:rFonts w:ascii="Arial" w:hAnsi="Arial" w:cs="Arial"/>
          <w:sz w:val="20"/>
        </w:rPr>
        <w:t>s</w:t>
      </w:r>
      <w:r w:rsidR="00014178" w:rsidRPr="00E53EAF">
        <w:rPr>
          <w:rFonts w:ascii="Arial" w:hAnsi="Arial" w:cs="Arial"/>
          <w:sz w:val="20"/>
        </w:rPr>
        <w:t>ingle topic questions</w:t>
      </w:r>
      <w:r>
        <w:rPr>
          <w:rFonts w:ascii="Arial" w:hAnsi="Arial" w:cs="Arial"/>
          <w:sz w:val="20"/>
        </w:rPr>
        <w:t>,</w:t>
      </w:r>
      <w:r w:rsidR="00014178" w:rsidRPr="00E53EAF">
        <w:rPr>
          <w:rFonts w:ascii="Arial" w:hAnsi="Arial" w:cs="Arial"/>
          <w:sz w:val="20"/>
        </w:rPr>
        <w:t xml:space="preserve"> or</w:t>
      </w:r>
    </w:p>
    <w:p w:rsidR="00014178" w:rsidRPr="00E53EAF" w:rsidRDefault="00BF34CD" w:rsidP="009D19A9">
      <w:pPr>
        <w:pStyle w:val="ListParagraph"/>
        <w:numPr>
          <w:ilvl w:val="0"/>
          <w:numId w:val="9"/>
        </w:numPr>
        <w:spacing w:after="120" w:line="276" w:lineRule="auto"/>
        <w:rPr>
          <w:rFonts w:ascii="Arial" w:hAnsi="Arial" w:cs="Arial"/>
          <w:sz w:val="20"/>
        </w:rPr>
      </w:pPr>
      <w:r>
        <w:rPr>
          <w:rFonts w:ascii="Arial" w:hAnsi="Arial" w:cs="Arial"/>
          <w:sz w:val="20"/>
        </w:rPr>
        <w:t>a vignette or clinical scenario</w:t>
      </w:r>
      <w:r w:rsidR="00701E2E">
        <w:rPr>
          <w:rFonts w:ascii="Arial" w:hAnsi="Arial" w:cs="Arial"/>
          <w:sz w:val="20"/>
        </w:rPr>
        <w:t>.</w:t>
      </w:r>
    </w:p>
    <w:p w:rsidR="00014178" w:rsidRPr="00E53EAF" w:rsidRDefault="00014178" w:rsidP="00F50DAC">
      <w:pPr>
        <w:pStyle w:val="AHPRAbodyContextparanumbered"/>
        <w:ind w:left="0" w:hanging="425"/>
        <w:rPr>
          <w:szCs w:val="20"/>
        </w:rPr>
      </w:pPr>
      <w:r w:rsidRPr="00E53EAF">
        <w:rPr>
          <w:szCs w:val="20"/>
        </w:rPr>
        <w:t>All questions have four options, of which one is the correct answer and three are incorrect</w:t>
      </w:r>
      <w:r w:rsidR="00F54ADC">
        <w:rPr>
          <w:szCs w:val="20"/>
        </w:rPr>
        <w:t xml:space="preserve">. </w:t>
      </w:r>
      <w:r w:rsidRPr="00E53EAF">
        <w:rPr>
          <w:szCs w:val="20"/>
        </w:rPr>
        <w:t xml:space="preserve">The correct answers are determined by the National Examination Committee. The correct answer is the best, or most correct option, in the view of the </w:t>
      </w:r>
      <w:r w:rsidR="00971B6A">
        <w:rPr>
          <w:szCs w:val="20"/>
        </w:rPr>
        <w:t>c</w:t>
      </w:r>
      <w:r w:rsidRPr="00E53EAF">
        <w:rPr>
          <w:szCs w:val="20"/>
        </w:rPr>
        <w:t xml:space="preserve">ommittee. The National Examination Committee reviews all questions for content validity and analyses their statistical reliability, which provides the basis for further question development and improvement. </w:t>
      </w:r>
    </w:p>
    <w:p w:rsidR="00014178" w:rsidRPr="00E53EAF" w:rsidRDefault="00014178" w:rsidP="009753CC">
      <w:pPr>
        <w:spacing w:after="200" w:line="240" w:lineRule="auto"/>
        <w:rPr>
          <w:rFonts w:ascii="Arial" w:eastAsia="Times New Roman" w:hAnsi="Arial" w:cs="Times New Roman"/>
          <w:b/>
          <w:color w:val="007DC3"/>
          <w:sz w:val="20"/>
          <w:szCs w:val="24"/>
        </w:rPr>
      </w:pPr>
      <w:r w:rsidRPr="00E53EAF">
        <w:rPr>
          <w:rFonts w:ascii="Arial" w:eastAsia="Times New Roman" w:hAnsi="Arial" w:cs="Times New Roman"/>
          <w:b/>
          <w:color w:val="007DC3"/>
          <w:sz w:val="20"/>
          <w:szCs w:val="24"/>
        </w:rPr>
        <w:t xml:space="preserve">Standard of the </w:t>
      </w:r>
      <w:r w:rsidR="00971B6A">
        <w:rPr>
          <w:rFonts w:ascii="Arial" w:eastAsia="Times New Roman" w:hAnsi="Arial" w:cs="Times New Roman"/>
          <w:b/>
          <w:color w:val="007DC3"/>
          <w:sz w:val="20"/>
          <w:szCs w:val="24"/>
        </w:rPr>
        <w:t>e</w:t>
      </w:r>
      <w:r w:rsidRPr="00E53EAF">
        <w:rPr>
          <w:rFonts w:ascii="Arial" w:eastAsia="Times New Roman" w:hAnsi="Arial" w:cs="Times New Roman"/>
          <w:b/>
          <w:color w:val="007DC3"/>
          <w:sz w:val="20"/>
          <w:szCs w:val="24"/>
        </w:rPr>
        <w:t>xamination</w:t>
      </w:r>
    </w:p>
    <w:p w:rsidR="00014178" w:rsidRPr="004A2EB1" w:rsidRDefault="00014178" w:rsidP="004A2EB1">
      <w:pPr>
        <w:pStyle w:val="AHPRAbodyContextparanumbered"/>
        <w:ind w:left="0" w:hanging="425"/>
        <w:rPr>
          <w:szCs w:val="20"/>
        </w:rPr>
      </w:pPr>
      <w:r w:rsidRPr="00E53EAF">
        <w:rPr>
          <w:szCs w:val="20"/>
        </w:rPr>
        <w:t xml:space="preserve">The national exam is based on the Board’s published </w:t>
      </w:r>
      <w:r w:rsidRPr="00E53EAF">
        <w:rPr>
          <w:i/>
          <w:szCs w:val="20"/>
        </w:rPr>
        <w:t>Professional capabilities for medical radiation practitioners</w:t>
      </w:r>
      <w:r w:rsidRPr="00E53EAF">
        <w:rPr>
          <w:szCs w:val="20"/>
        </w:rPr>
        <w:t xml:space="preserve">. The </w:t>
      </w:r>
      <w:r w:rsidR="00EC4018" w:rsidRPr="00EC4018">
        <w:rPr>
          <w:i/>
          <w:szCs w:val="20"/>
        </w:rPr>
        <w:t>P</w:t>
      </w:r>
      <w:r w:rsidRPr="00EC4018">
        <w:rPr>
          <w:i/>
          <w:szCs w:val="20"/>
        </w:rPr>
        <w:t>rofessional capabilities</w:t>
      </w:r>
      <w:r w:rsidRPr="00E53EAF">
        <w:rPr>
          <w:szCs w:val="20"/>
        </w:rPr>
        <w:t xml:space="preserve"> </w:t>
      </w:r>
      <w:r w:rsidR="00EC4018">
        <w:rPr>
          <w:szCs w:val="20"/>
        </w:rPr>
        <w:t>set</w:t>
      </w:r>
      <w:r w:rsidRPr="00E53EAF">
        <w:rPr>
          <w:szCs w:val="20"/>
        </w:rPr>
        <w:t xml:space="preserve"> entry-level </w:t>
      </w:r>
      <w:r w:rsidR="00EC4018">
        <w:rPr>
          <w:szCs w:val="20"/>
        </w:rPr>
        <w:t xml:space="preserve">requirements </w:t>
      </w:r>
      <w:r w:rsidRPr="00E53EAF">
        <w:rPr>
          <w:szCs w:val="20"/>
        </w:rPr>
        <w:t xml:space="preserve">medical radiation practice </w:t>
      </w:r>
      <w:r w:rsidR="00EC4018">
        <w:rPr>
          <w:szCs w:val="20"/>
        </w:rPr>
        <w:t xml:space="preserve">and form part of </w:t>
      </w:r>
      <w:r w:rsidR="004F324C">
        <w:rPr>
          <w:szCs w:val="20"/>
        </w:rPr>
        <w:t>eligibility requireme</w:t>
      </w:r>
      <w:r w:rsidR="000E1E6D">
        <w:rPr>
          <w:szCs w:val="20"/>
        </w:rPr>
        <w:t>nts</w:t>
      </w:r>
      <w:r w:rsidRPr="00E53EAF">
        <w:rPr>
          <w:szCs w:val="20"/>
        </w:rPr>
        <w:t xml:space="preserve"> for general registration</w:t>
      </w:r>
      <w:r w:rsidR="00EC4018">
        <w:rPr>
          <w:szCs w:val="20"/>
        </w:rPr>
        <w:t>. These eligibility requirements are relevant to</w:t>
      </w:r>
    </w:p>
    <w:p w:rsidR="00014178" w:rsidRPr="00E53EAF" w:rsidRDefault="00014178" w:rsidP="009D19A9">
      <w:pPr>
        <w:numPr>
          <w:ilvl w:val="0"/>
          <w:numId w:val="10"/>
        </w:numPr>
        <w:autoSpaceDE w:val="0"/>
        <w:autoSpaceDN w:val="0"/>
        <w:adjustRightInd w:val="0"/>
        <w:spacing w:after="0" w:line="276" w:lineRule="auto"/>
        <w:rPr>
          <w:rFonts w:ascii="Arial" w:hAnsi="Arial" w:cs="Arial"/>
          <w:sz w:val="20"/>
          <w:szCs w:val="20"/>
        </w:rPr>
      </w:pPr>
      <w:r w:rsidRPr="00E53EAF">
        <w:rPr>
          <w:rFonts w:ascii="Arial" w:hAnsi="Arial" w:cs="Arial"/>
          <w:sz w:val="20"/>
          <w:szCs w:val="20"/>
        </w:rPr>
        <w:t xml:space="preserve">practitioners qualified in Australia </w:t>
      </w:r>
    </w:p>
    <w:p w:rsidR="00014178" w:rsidRPr="00E53EAF" w:rsidRDefault="00014178" w:rsidP="009D19A9">
      <w:pPr>
        <w:numPr>
          <w:ilvl w:val="0"/>
          <w:numId w:val="10"/>
        </w:numPr>
        <w:autoSpaceDE w:val="0"/>
        <w:autoSpaceDN w:val="0"/>
        <w:adjustRightInd w:val="0"/>
        <w:spacing w:after="0" w:line="276" w:lineRule="auto"/>
        <w:rPr>
          <w:rFonts w:ascii="Arial" w:hAnsi="Arial" w:cs="Arial"/>
          <w:sz w:val="20"/>
          <w:szCs w:val="20"/>
        </w:rPr>
      </w:pPr>
      <w:r w:rsidRPr="00E53EAF">
        <w:rPr>
          <w:rFonts w:ascii="Arial" w:hAnsi="Arial" w:cs="Arial"/>
          <w:sz w:val="20"/>
          <w:szCs w:val="20"/>
        </w:rPr>
        <w:t>practitioners who qualified overseas</w:t>
      </w:r>
    </w:p>
    <w:p w:rsidR="00014178" w:rsidRPr="00E53EAF" w:rsidRDefault="00014178" w:rsidP="009D19A9">
      <w:pPr>
        <w:numPr>
          <w:ilvl w:val="0"/>
          <w:numId w:val="10"/>
        </w:numPr>
        <w:autoSpaceDE w:val="0"/>
        <w:autoSpaceDN w:val="0"/>
        <w:adjustRightInd w:val="0"/>
        <w:spacing w:after="0" w:line="276" w:lineRule="auto"/>
        <w:rPr>
          <w:rFonts w:ascii="Arial" w:hAnsi="Arial" w:cs="Arial"/>
          <w:sz w:val="20"/>
          <w:szCs w:val="20"/>
        </w:rPr>
      </w:pPr>
      <w:r w:rsidRPr="00E53EAF">
        <w:rPr>
          <w:rFonts w:ascii="Arial" w:hAnsi="Arial" w:cs="Arial"/>
          <w:sz w:val="20"/>
          <w:szCs w:val="20"/>
        </w:rPr>
        <w:t xml:space="preserve">practitioners requiring remediation, and </w:t>
      </w:r>
    </w:p>
    <w:p w:rsidR="00014178" w:rsidRPr="00E53EAF" w:rsidRDefault="00014178" w:rsidP="009D19A9">
      <w:pPr>
        <w:numPr>
          <w:ilvl w:val="0"/>
          <w:numId w:val="10"/>
        </w:numPr>
        <w:autoSpaceDE w:val="0"/>
        <w:autoSpaceDN w:val="0"/>
        <w:adjustRightInd w:val="0"/>
        <w:spacing w:after="0" w:line="276" w:lineRule="auto"/>
        <w:rPr>
          <w:rFonts w:ascii="Arial" w:hAnsi="Arial" w:cs="Arial"/>
          <w:sz w:val="20"/>
          <w:szCs w:val="20"/>
        </w:rPr>
      </w:pPr>
      <w:r w:rsidRPr="00E53EAF">
        <w:rPr>
          <w:rFonts w:ascii="Arial" w:hAnsi="Arial" w:cs="Arial"/>
          <w:sz w:val="20"/>
          <w:szCs w:val="20"/>
        </w:rPr>
        <w:t>practitioners returning to practi</w:t>
      </w:r>
      <w:r w:rsidR="00701E2E">
        <w:rPr>
          <w:rFonts w:ascii="Arial" w:hAnsi="Arial" w:cs="Arial"/>
          <w:sz w:val="20"/>
          <w:szCs w:val="20"/>
        </w:rPr>
        <w:t>c</w:t>
      </w:r>
      <w:r w:rsidRPr="00E53EAF">
        <w:rPr>
          <w:rFonts w:ascii="Arial" w:hAnsi="Arial" w:cs="Arial"/>
          <w:sz w:val="20"/>
          <w:szCs w:val="20"/>
        </w:rPr>
        <w:t xml:space="preserve">e.  </w:t>
      </w:r>
    </w:p>
    <w:p w:rsidR="00014178" w:rsidRPr="00E53EAF" w:rsidRDefault="00014178" w:rsidP="00014178">
      <w:pPr>
        <w:autoSpaceDE w:val="0"/>
        <w:autoSpaceDN w:val="0"/>
        <w:adjustRightInd w:val="0"/>
        <w:spacing w:after="0" w:line="276" w:lineRule="auto"/>
        <w:rPr>
          <w:rFonts w:ascii="Arial" w:hAnsi="Arial" w:cs="Arial"/>
          <w:sz w:val="20"/>
          <w:szCs w:val="20"/>
        </w:rPr>
      </w:pPr>
    </w:p>
    <w:p w:rsidR="00014178" w:rsidRPr="00E53EAF" w:rsidRDefault="00014178" w:rsidP="005769C0">
      <w:pPr>
        <w:pStyle w:val="AHPRAbodyContextparanumbered"/>
        <w:ind w:left="0" w:hanging="425"/>
        <w:rPr>
          <w:szCs w:val="20"/>
        </w:rPr>
      </w:pPr>
      <w:r w:rsidRPr="00E53EAF">
        <w:rPr>
          <w:szCs w:val="20"/>
        </w:rPr>
        <w:t xml:space="preserve">The </w:t>
      </w:r>
      <w:r w:rsidR="009C3872">
        <w:rPr>
          <w:i/>
          <w:szCs w:val="20"/>
        </w:rPr>
        <w:t>P</w:t>
      </w:r>
      <w:r w:rsidR="00A142D6" w:rsidRPr="000E1E6D">
        <w:rPr>
          <w:i/>
          <w:szCs w:val="20"/>
        </w:rPr>
        <w:t>rofessional capabilities</w:t>
      </w:r>
      <w:r w:rsidRPr="00E53EAF">
        <w:rPr>
          <w:szCs w:val="20"/>
        </w:rPr>
        <w:t xml:space="preserve"> identify the minimum knowledge, skills and professional attributes necessary for practice. During professional practice it is expected that practitioners will demonstrate elements from a number of capability domains in any given circumstance. This recognises that competent professional practice is more than a sum of each discrete part. It requires an ability to draw on and integrate the breadth of capabilities to support overall performance.</w:t>
      </w:r>
    </w:p>
    <w:p w:rsidR="00014178" w:rsidRPr="00E53EAF" w:rsidRDefault="00014178" w:rsidP="005769C0">
      <w:pPr>
        <w:pStyle w:val="AHPRAbodyContextparanumbered"/>
        <w:ind w:left="0" w:hanging="425"/>
        <w:rPr>
          <w:szCs w:val="20"/>
        </w:rPr>
      </w:pPr>
      <w:r w:rsidRPr="00E53EAF">
        <w:rPr>
          <w:szCs w:val="20"/>
        </w:rPr>
        <w:t xml:space="preserve">To demonstrate capability, a candidate must apply their knowledge holistically to a clinical problem or appropriately manage the clinical environment. </w:t>
      </w:r>
    </w:p>
    <w:p w:rsidR="009753CC" w:rsidRPr="00E53EAF" w:rsidRDefault="00014178" w:rsidP="00F50DAC">
      <w:pPr>
        <w:pStyle w:val="AHPRAbodyContextparanumbered"/>
        <w:ind w:left="0" w:hanging="425"/>
        <w:rPr>
          <w:szCs w:val="20"/>
        </w:rPr>
      </w:pPr>
      <w:r w:rsidRPr="00E53EAF">
        <w:rPr>
          <w:szCs w:val="20"/>
        </w:rPr>
        <w:t>The professional capability of graduates from approved programs of study is assessed over several years in a variety of ways. For those practitioners who have not completed an approved program of study the Board u</w:t>
      </w:r>
      <w:r w:rsidR="00971B6A">
        <w:rPr>
          <w:szCs w:val="20"/>
        </w:rPr>
        <w:t>ses</w:t>
      </w:r>
      <w:r w:rsidRPr="00E53EAF">
        <w:rPr>
          <w:szCs w:val="20"/>
        </w:rPr>
        <w:t xml:space="preserve"> an examination to evaluate the candidate’s </w:t>
      </w:r>
      <w:r w:rsidR="00F54ADC">
        <w:rPr>
          <w:szCs w:val="20"/>
        </w:rPr>
        <w:t>c</w:t>
      </w:r>
      <w:r w:rsidR="000E1E6D">
        <w:rPr>
          <w:szCs w:val="20"/>
        </w:rPr>
        <w:t xml:space="preserve">apacity for applying knowledge and </w:t>
      </w:r>
      <w:r w:rsidR="00F54ADC">
        <w:rPr>
          <w:szCs w:val="20"/>
        </w:rPr>
        <w:t>clinical reasoning</w:t>
      </w:r>
      <w:r w:rsidRPr="00E53EAF">
        <w:rPr>
          <w:szCs w:val="20"/>
        </w:rPr>
        <w:t xml:space="preserve">. </w:t>
      </w:r>
    </w:p>
    <w:p w:rsidR="00014178" w:rsidRPr="00E53EAF" w:rsidRDefault="00014178" w:rsidP="009753CC">
      <w:pPr>
        <w:spacing w:after="200" w:line="240" w:lineRule="auto"/>
        <w:rPr>
          <w:rFonts w:ascii="Arial" w:eastAsia="Times New Roman" w:hAnsi="Arial" w:cs="Times New Roman"/>
          <w:b/>
          <w:color w:val="007DC3"/>
          <w:sz w:val="20"/>
          <w:szCs w:val="24"/>
        </w:rPr>
      </w:pPr>
      <w:r w:rsidRPr="00E53EAF">
        <w:rPr>
          <w:rFonts w:ascii="Arial" w:eastAsia="Times New Roman" w:hAnsi="Arial" w:cs="Times New Roman"/>
          <w:b/>
          <w:color w:val="007DC3"/>
          <w:sz w:val="20"/>
          <w:szCs w:val="24"/>
        </w:rPr>
        <w:t xml:space="preserve">Professional </w:t>
      </w:r>
      <w:r w:rsidR="00971B6A">
        <w:rPr>
          <w:rFonts w:ascii="Arial" w:eastAsia="Times New Roman" w:hAnsi="Arial" w:cs="Times New Roman"/>
          <w:b/>
          <w:color w:val="007DC3"/>
          <w:sz w:val="20"/>
          <w:szCs w:val="24"/>
        </w:rPr>
        <w:t>c</w:t>
      </w:r>
      <w:r w:rsidRPr="00E53EAF">
        <w:rPr>
          <w:rFonts w:ascii="Arial" w:eastAsia="Times New Roman" w:hAnsi="Arial" w:cs="Times New Roman"/>
          <w:b/>
          <w:color w:val="007DC3"/>
          <w:sz w:val="20"/>
          <w:szCs w:val="24"/>
        </w:rPr>
        <w:t>apabilities for medical radiation practice</w:t>
      </w:r>
    </w:p>
    <w:p w:rsidR="00014178" w:rsidRPr="000E1E6D" w:rsidRDefault="00014178" w:rsidP="009D19A9">
      <w:pPr>
        <w:pStyle w:val="AHPRAbodyContextparanumbered"/>
        <w:ind w:left="0" w:hanging="425"/>
        <w:rPr>
          <w:szCs w:val="20"/>
        </w:rPr>
      </w:pPr>
      <w:r w:rsidRPr="00E53EAF">
        <w:rPr>
          <w:szCs w:val="20"/>
        </w:rPr>
        <w:t>As indicated above</w:t>
      </w:r>
      <w:r w:rsidR="00701E2E">
        <w:rPr>
          <w:szCs w:val="20"/>
        </w:rPr>
        <w:t>,</w:t>
      </w:r>
      <w:r w:rsidRPr="00E53EAF">
        <w:rPr>
          <w:szCs w:val="20"/>
        </w:rPr>
        <w:t xml:space="preserve"> the </w:t>
      </w:r>
      <w:r w:rsidR="00701E2E">
        <w:rPr>
          <w:i/>
          <w:szCs w:val="20"/>
        </w:rPr>
        <w:t>p</w:t>
      </w:r>
      <w:r w:rsidRPr="000E1E6D">
        <w:rPr>
          <w:i/>
          <w:szCs w:val="20"/>
        </w:rPr>
        <w:t>rofessional capabilities</w:t>
      </w:r>
      <w:r w:rsidRPr="00E53EAF">
        <w:rPr>
          <w:szCs w:val="20"/>
        </w:rPr>
        <w:t xml:space="preserve"> identify the minimum knowledge, skills and professional attributes necessary for safe, independent practice in diagnostic radiography, nuclear medicine tec</w:t>
      </w:r>
      <w:r w:rsidR="000E1E6D">
        <w:rPr>
          <w:szCs w:val="20"/>
        </w:rPr>
        <w:t xml:space="preserve">hnology and radiation therapy. </w:t>
      </w:r>
      <w:r w:rsidRPr="000E1E6D">
        <w:rPr>
          <w:szCs w:val="20"/>
        </w:rPr>
        <w:t xml:space="preserve">In order to be granted general registration, a medical radiation practitioner must be able to demonstrate these capabilities. </w:t>
      </w:r>
    </w:p>
    <w:p w:rsidR="00014178" w:rsidRPr="00E53EAF" w:rsidRDefault="00014178" w:rsidP="005769C0">
      <w:pPr>
        <w:pStyle w:val="AHPRAbodyContextparanumbered"/>
        <w:ind w:left="0" w:hanging="425"/>
        <w:rPr>
          <w:szCs w:val="20"/>
        </w:rPr>
      </w:pPr>
      <w:r w:rsidRPr="00E53EAF">
        <w:rPr>
          <w:szCs w:val="20"/>
        </w:rPr>
        <w:t xml:space="preserve">The capabilities have been grouped into domains which identify elements of practice. The domains for the professional capabilities for medical radiation practice are: </w:t>
      </w:r>
    </w:p>
    <w:p w:rsidR="00014178" w:rsidRPr="00E53EAF" w:rsidRDefault="00014178" w:rsidP="00913E3C">
      <w:pPr>
        <w:pStyle w:val="AHPRAnumberedbulletpoint"/>
        <w:tabs>
          <w:tab w:val="left" w:pos="1418"/>
          <w:tab w:val="left" w:pos="1701"/>
        </w:tabs>
        <w:spacing w:before="120" w:after="0"/>
        <w:ind w:left="851" w:hanging="567"/>
        <w:rPr>
          <w:lang w:val="en-AU"/>
        </w:rPr>
      </w:pPr>
      <w:r w:rsidRPr="00E53EAF">
        <w:rPr>
          <w:lang w:val="en-AU"/>
        </w:rPr>
        <w:t xml:space="preserve">Domain 1:  </w:t>
      </w:r>
      <w:r w:rsidR="00913E3C">
        <w:rPr>
          <w:lang w:val="en-AU"/>
        </w:rPr>
        <w:tab/>
      </w:r>
      <w:r w:rsidR="00913E3C">
        <w:rPr>
          <w:lang w:val="en-AU"/>
        </w:rPr>
        <w:tab/>
      </w:r>
      <w:r w:rsidR="00971B6A">
        <w:rPr>
          <w:lang w:val="en-AU"/>
        </w:rPr>
        <w:t>P</w:t>
      </w:r>
      <w:r w:rsidRPr="00E53EAF">
        <w:rPr>
          <w:lang w:val="en-AU"/>
        </w:rPr>
        <w:t>rofessional and ethical conduct</w:t>
      </w:r>
    </w:p>
    <w:p w:rsidR="00014178" w:rsidRPr="00E53EAF" w:rsidRDefault="00014178" w:rsidP="00913E3C">
      <w:pPr>
        <w:pStyle w:val="AHPRAnumberedbulletpoint"/>
        <w:tabs>
          <w:tab w:val="left" w:pos="1418"/>
          <w:tab w:val="left" w:pos="1701"/>
        </w:tabs>
        <w:spacing w:before="120" w:after="0"/>
        <w:ind w:left="851" w:hanging="567"/>
        <w:rPr>
          <w:lang w:val="en-AU"/>
        </w:rPr>
      </w:pPr>
      <w:r w:rsidRPr="00E53EAF">
        <w:rPr>
          <w:lang w:val="en-AU"/>
        </w:rPr>
        <w:t xml:space="preserve">Domain 2: </w:t>
      </w:r>
      <w:r w:rsidR="00913E3C">
        <w:rPr>
          <w:lang w:val="en-AU"/>
        </w:rPr>
        <w:tab/>
      </w:r>
      <w:r w:rsidR="00913E3C">
        <w:rPr>
          <w:lang w:val="en-AU"/>
        </w:rPr>
        <w:tab/>
      </w:r>
      <w:r w:rsidR="00971B6A">
        <w:rPr>
          <w:lang w:val="en-AU"/>
        </w:rPr>
        <w:t>P</w:t>
      </w:r>
      <w:r w:rsidRPr="00E53EAF">
        <w:rPr>
          <w:lang w:val="en-AU"/>
        </w:rPr>
        <w:t xml:space="preserve">rofessional communication and collaboration  </w:t>
      </w:r>
    </w:p>
    <w:p w:rsidR="00014178" w:rsidRPr="00E53EAF" w:rsidRDefault="00014178" w:rsidP="00913E3C">
      <w:pPr>
        <w:pStyle w:val="AHPRAnumberedbulletpoint"/>
        <w:tabs>
          <w:tab w:val="left" w:pos="1418"/>
          <w:tab w:val="left" w:pos="1701"/>
        </w:tabs>
        <w:spacing w:before="120" w:after="0"/>
        <w:ind w:left="851" w:hanging="567"/>
        <w:rPr>
          <w:lang w:val="en-AU"/>
        </w:rPr>
      </w:pPr>
      <w:r w:rsidRPr="00E53EAF">
        <w:rPr>
          <w:lang w:val="en-AU"/>
        </w:rPr>
        <w:t xml:space="preserve">Domain 3:  </w:t>
      </w:r>
      <w:r w:rsidR="00913E3C">
        <w:rPr>
          <w:lang w:val="en-AU"/>
        </w:rPr>
        <w:tab/>
      </w:r>
      <w:r w:rsidR="00913E3C">
        <w:rPr>
          <w:lang w:val="en-AU"/>
        </w:rPr>
        <w:tab/>
      </w:r>
      <w:r w:rsidR="00971B6A">
        <w:rPr>
          <w:lang w:val="en-AU"/>
        </w:rPr>
        <w:t>E</w:t>
      </w:r>
      <w:r w:rsidRPr="00E53EAF">
        <w:rPr>
          <w:lang w:val="en-AU"/>
        </w:rPr>
        <w:t>vidence</w:t>
      </w:r>
      <w:r w:rsidR="00971B6A">
        <w:rPr>
          <w:lang w:val="en-AU"/>
        </w:rPr>
        <w:t>-</w:t>
      </w:r>
      <w:r w:rsidRPr="00E53EAF">
        <w:rPr>
          <w:lang w:val="en-AU"/>
        </w:rPr>
        <w:t xml:space="preserve">based practice and professional learning  </w:t>
      </w:r>
    </w:p>
    <w:p w:rsidR="00014178" w:rsidRPr="00E53EAF" w:rsidRDefault="00014178" w:rsidP="00913E3C">
      <w:pPr>
        <w:pStyle w:val="AHPRAnumberedbulletpoint"/>
        <w:tabs>
          <w:tab w:val="left" w:pos="1418"/>
          <w:tab w:val="left" w:pos="1701"/>
        </w:tabs>
        <w:spacing w:before="120" w:after="0"/>
        <w:ind w:left="851" w:hanging="567"/>
        <w:rPr>
          <w:lang w:val="en-AU"/>
        </w:rPr>
      </w:pPr>
      <w:r w:rsidRPr="00E53EAF">
        <w:rPr>
          <w:lang w:val="en-AU"/>
        </w:rPr>
        <w:t xml:space="preserve">Domain 4:  </w:t>
      </w:r>
      <w:r w:rsidR="00913E3C">
        <w:rPr>
          <w:lang w:val="en-AU"/>
        </w:rPr>
        <w:tab/>
      </w:r>
      <w:r w:rsidR="00913E3C">
        <w:rPr>
          <w:lang w:val="en-AU"/>
        </w:rPr>
        <w:tab/>
      </w:r>
      <w:r w:rsidR="00971B6A">
        <w:rPr>
          <w:lang w:val="en-AU"/>
        </w:rPr>
        <w:t>R</w:t>
      </w:r>
      <w:r w:rsidRPr="00E53EAF">
        <w:rPr>
          <w:lang w:val="en-AU"/>
        </w:rPr>
        <w:t xml:space="preserve">adiation safety and risk management, and </w:t>
      </w:r>
    </w:p>
    <w:p w:rsidR="00014178" w:rsidRPr="00E53EAF" w:rsidRDefault="00014178" w:rsidP="00913E3C">
      <w:pPr>
        <w:pStyle w:val="AHPRAnumberedbulletpoint"/>
        <w:tabs>
          <w:tab w:val="left" w:pos="1418"/>
          <w:tab w:val="left" w:pos="1701"/>
        </w:tabs>
        <w:spacing w:before="120" w:after="0"/>
        <w:ind w:left="851" w:hanging="567"/>
        <w:rPr>
          <w:lang w:val="en-AU"/>
        </w:rPr>
      </w:pPr>
      <w:r w:rsidRPr="00E53EAF">
        <w:rPr>
          <w:lang w:val="en-AU"/>
        </w:rPr>
        <w:t xml:space="preserve">Domain 5:  </w:t>
      </w:r>
      <w:r w:rsidR="00913E3C">
        <w:rPr>
          <w:lang w:val="en-AU"/>
        </w:rPr>
        <w:tab/>
      </w:r>
      <w:r w:rsidR="00913E3C">
        <w:rPr>
          <w:lang w:val="en-AU"/>
        </w:rPr>
        <w:tab/>
      </w:r>
      <w:r w:rsidR="00971B6A">
        <w:rPr>
          <w:lang w:val="en-AU"/>
        </w:rPr>
        <w:t>P</w:t>
      </w:r>
      <w:r w:rsidRPr="00E53EAF">
        <w:rPr>
          <w:lang w:val="en-AU"/>
        </w:rPr>
        <w:t>ractice in medical radiation science (common), and either:</w:t>
      </w:r>
    </w:p>
    <w:p w:rsidR="00014178" w:rsidRPr="00E53EAF" w:rsidRDefault="00913E3C" w:rsidP="00913E3C">
      <w:pPr>
        <w:pStyle w:val="AHPRAnumberedbulletpoint"/>
        <w:tabs>
          <w:tab w:val="left" w:pos="1418"/>
          <w:tab w:val="left" w:pos="1843"/>
        </w:tabs>
        <w:spacing w:before="120" w:after="0"/>
        <w:ind w:left="851" w:hanging="425"/>
        <w:rPr>
          <w:lang w:val="en-AU"/>
        </w:rPr>
      </w:pPr>
      <w:r>
        <w:rPr>
          <w:lang w:val="en-AU"/>
        </w:rPr>
        <w:t xml:space="preserve">Domain </w:t>
      </w:r>
      <w:r w:rsidR="00014178" w:rsidRPr="00E53EAF">
        <w:rPr>
          <w:lang w:val="en-AU"/>
        </w:rPr>
        <w:t xml:space="preserve">5a: </w:t>
      </w:r>
      <w:r>
        <w:rPr>
          <w:lang w:val="en-AU"/>
        </w:rPr>
        <w:tab/>
      </w:r>
      <w:r w:rsidR="00971B6A">
        <w:rPr>
          <w:lang w:val="en-AU"/>
        </w:rPr>
        <w:t>P</w:t>
      </w:r>
      <w:r w:rsidR="00014178" w:rsidRPr="00E53EAF">
        <w:rPr>
          <w:lang w:val="en-AU"/>
        </w:rPr>
        <w:t>ractice in diagnostic radiography</w:t>
      </w:r>
    </w:p>
    <w:p w:rsidR="00014178" w:rsidRPr="00E53EAF" w:rsidRDefault="00913E3C" w:rsidP="00913E3C">
      <w:pPr>
        <w:pStyle w:val="AHPRAnumberedbulletpoint"/>
        <w:tabs>
          <w:tab w:val="left" w:pos="1418"/>
          <w:tab w:val="left" w:pos="1843"/>
        </w:tabs>
        <w:spacing w:before="120" w:after="0"/>
        <w:ind w:left="851" w:hanging="425"/>
        <w:rPr>
          <w:lang w:val="en-AU"/>
        </w:rPr>
      </w:pPr>
      <w:r>
        <w:rPr>
          <w:lang w:val="en-AU"/>
        </w:rPr>
        <w:t xml:space="preserve">Domain </w:t>
      </w:r>
      <w:r w:rsidR="00014178" w:rsidRPr="00E53EAF">
        <w:rPr>
          <w:lang w:val="en-AU"/>
        </w:rPr>
        <w:t xml:space="preserve">5b: </w:t>
      </w:r>
      <w:r>
        <w:rPr>
          <w:lang w:val="en-AU"/>
        </w:rPr>
        <w:tab/>
      </w:r>
      <w:r w:rsidR="00971B6A">
        <w:rPr>
          <w:lang w:val="en-AU"/>
        </w:rPr>
        <w:t>P</w:t>
      </w:r>
      <w:r w:rsidR="00014178" w:rsidRPr="00E53EAF">
        <w:rPr>
          <w:lang w:val="en-AU"/>
        </w:rPr>
        <w:t>ractice in nuclear medicine, and</w:t>
      </w:r>
    </w:p>
    <w:p w:rsidR="00014178" w:rsidRPr="00E53EAF" w:rsidRDefault="00913E3C" w:rsidP="00913E3C">
      <w:pPr>
        <w:pStyle w:val="AHPRAnumberedbulletpoint"/>
        <w:tabs>
          <w:tab w:val="left" w:pos="1418"/>
          <w:tab w:val="left" w:pos="1843"/>
        </w:tabs>
        <w:spacing w:before="120" w:after="0"/>
        <w:ind w:left="851" w:hanging="425"/>
        <w:rPr>
          <w:lang w:val="en-AU"/>
        </w:rPr>
      </w:pPr>
      <w:r>
        <w:rPr>
          <w:lang w:val="en-AU"/>
        </w:rPr>
        <w:t xml:space="preserve">Domain </w:t>
      </w:r>
      <w:r w:rsidR="00014178" w:rsidRPr="00E53EAF">
        <w:rPr>
          <w:lang w:val="en-AU"/>
        </w:rPr>
        <w:t xml:space="preserve">5c: </w:t>
      </w:r>
      <w:r>
        <w:rPr>
          <w:lang w:val="en-AU"/>
        </w:rPr>
        <w:tab/>
      </w:r>
      <w:r w:rsidR="00971B6A">
        <w:rPr>
          <w:lang w:val="en-AU"/>
        </w:rPr>
        <w:t>P</w:t>
      </w:r>
      <w:r w:rsidR="00014178" w:rsidRPr="00E53EAF">
        <w:rPr>
          <w:lang w:val="en-AU"/>
        </w:rPr>
        <w:t xml:space="preserve">ractice in radiation therapy. </w:t>
      </w:r>
    </w:p>
    <w:p w:rsidR="00014178" w:rsidRPr="00E53EAF" w:rsidRDefault="00014178" w:rsidP="00014178">
      <w:pPr>
        <w:spacing w:line="276" w:lineRule="auto"/>
        <w:contextualSpacing/>
        <w:rPr>
          <w:rFonts w:ascii="Arial" w:hAnsi="Arial"/>
          <w:sz w:val="20"/>
        </w:rPr>
      </w:pPr>
    </w:p>
    <w:p w:rsidR="00014178" w:rsidRPr="00E53EAF" w:rsidRDefault="00014178" w:rsidP="005769C0">
      <w:pPr>
        <w:pStyle w:val="AHPRAbodyContextparanumbered"/>
        <w:ind w:left="0" w:hanging="425"/>
        <w:rPr>
          <w:szCs w:val="20"/>
        </w:rPr>
      </w:pPr>
      <w:r w:rsidRPr="00E53EAF">
        <w:rPr>
          <w:szCs w:val="20"/>
        </w:rPr>
        <w:lastRenderedPageBreak/>
        <w:t xml:space="preserve">Competent professional practice requires an ability to draw on and integrate the breadth of capabilities during the usual course of practice. For this reason the examination will investigate a practitioner’s </w:t>
      </w:r>
      <w:r w:rsidR="000E1E6D">
        <w:rPr>
          <w:szCs w:val="20"/>
        </w:rPr>
        <w:t xml:space="preserve">capacity to </w:t>
      </w:r>
      <w:r w:rsidR="00C65EBA" w:rsidRPr="00E53EAF">
        <w:rPr>
          <w:szCs w:val="20"/>
        </w:rPr>
        <w:t>apply elements from a number of domains</w:t>
      </w:r>
      <w:r w:rsidR="00913E3C">
        <w:rPr>
          <w:szCs w:val="20"/>
        </w:rPr>
        <w:t xml:space="preserve"> to</w:t>
      </w:r>
      <w:r w:rsidR="00C65EBA" w:rsidRPr="00E53EAF">
        <w:rPr>
          <w:szCs w:val="20"/>
        </w:rPr>
        <w:t xml:space="preserve"> </w:t>
      </w:r>
      <w:r w:rsidR="000E1E6D">
        <w:rPr>
          <w:szCs w:val="20"/>
        </w:rPr>
        <w:t>gather information, establish the clinical question, consider evidence and intuit, conclude</w:t>
      </w:r>
      <w:r w:rsidR="00C65EBA">
        <w:rPr>
          <w:szCs w:val="20"/>
        </w:rPr>
        <w:t xml:space="preserve"> or devise a plan to answer or resolve the clinical question.</w:t>
      </w:r>
    </w:p>
    <w:p w:rsidR="00014178" w:rsidRPr="00E53EAF" w:rsidRDefault="00014178" w:rsidP="00014178">
      <w:pPr>
        <w:spacing w:after="120" w:line="276" w:lineRule="auto"/>
        <w:rPr>
          <w:rFonts w:ascii="Arial" w:hAnsi="Arial" w:cs="Arial"/>
          <w:sz w:val="20"/>
          <w:szCs w:val="20"/>
        </w:rPr>
      </w:pPr>
      <w:r w:rsidRPr="00E53EAF">
        <w:rPr>
          <w:rFonts w:ascii="Arial" w:hAnsi="Arial" w:cs="Arial"/>
          <w:sz w:val="20"/>
          <w:szCs w:val="20"/>
        </w:rPr>
        <w:t xml:space="preserve">The </w:t>
      </w:r>
      <w:hyperlink r:id="rId31" w:history="1">
        <w:r w:rsidR="00A142D6" w:rsidRPr="00A142D6">
          <w:rPr>
            <w:rStyle w:val="Hyperlink"/>
            <w:rFonts w:ascii="Arial" w:hAnsi="Arial" w:cs="Arial"/>
            <w:sz w:val="20"/>
            <w:szCs w:val="20"/>
          </w:rPr>
          <w:t>Professional capabilities for medical radiation practitioners</w:t>
        </w:r>
      </w:hyperlink>
      <w:r w:rsidRPr="00E53EAF">
        <w:rPr>
          <w:rFonts w:ascii="Arial" w:hAnsi="Arial" w:cs="Arial"/>
          <w:sz w:val="20"/>
          <w:szCs w:val="20"/>
        </w:rPr>
        <w:t xml:space="preserve"> can be found on the Board’s website</w:t>
      </w:r>
      <w:r w:rsidR="009753CC" w:rsidRPr="00E53EAF">
        <w:rPr>
          <w:rFonts w:ascii="Arial" w:hAnsi="Arial" w:cs="Arial"/>
          <w:sz w:val="20"/>
          <w:szCs w:val="20"/>
        </w:rPr>
        <w:t>.</w:t>
      </w:r>
    </w:p>
    <w:p w:rsidR="00014178" w:rsidRPr="00E53EAF" w:rsidRDefault="00014178" w:rsidP="009753CC">
      <w:pPr>
        <w:spacing w:after="200" w:line="240" w:lineRule="auto"/>
        <w:rPr>
          <w:rFonts w:ascii="Arial" w:eastAsia="Times New Roman" w:hAnsi="Arial" w:cs="Times New Roman"/>
          <w:b/>
          <w:color w:val="007DC3"/>
          <w:sz w:val="20"/>
          <w:szCs w:val="24"/>
        </w:rPr>
      </w:pPr>
      <w:r w:rsidRPr="00E53EAF">
        <w:rPr>
          <w:rFonts w:ascii="Arial" w:eastAsia="Times New Roman" w:hAnsi="Arial" w:cs="Times New Roman"/>
          <w:b/>
          <w:color w:val="007DC3"/>
          <w:sz w:val="20"/>
          <w:szCs w:val="24"/>
        </w:rPr>
        <w:t>Preparation for the examination</w:t>
      </w:r>
    </w:p>
    <w:p w:rsidR="00014178" w:rsidRPr="00E53EAF" w:rsidRDefault="00014178" w:rsidP="005769C0">
      <w:pPr>
        <w:pStyle w:val="AHPRAbodyContextparanumbered"/>
        <w:ind w:left="0" w:hanging="425"/>
        <w:rPr>
          <w:szCs w:val="20"/>
        </w:rPr>
      </w:pPr>
      <w:r w:rsidRPr="00E53EAF">
        <w:rPr>
          <w:szCs w:val="20"/>
        </w:rPr>
        <w:t>Medical radiation p</w:t>
      </w:r>
      <w:r w:rsidR="00B60C69">
        <w:rPr>
          <w:szCs w:val="20"/>
        </w:rPr>
        <w:t>ractitioners with little or no</w:t>
      </w:r>
      <w:r w:rsidRPr="00E53EAF">
        <w:rPr>
          <w:szCs w:val="20"/>
        </w:rPr>
        <w:t xml:space="preserve"> recent </w:t>
      </w:r>
      <w:r w:rsidR="00F54ADC">
        <w:rPr>
          <w:szCs w:val="20"/>
        </w:rPr>
        <w:t>study or practice</w:t>
      </w:r>
      <w:r w:rsidRPr="00E53EAF">
        <w:rPr>
          <w:szCs w:val="20"/>
        </w:rPr>
        <w:t xml:space="preserve"> are likely to have </w:t>
      </w:r>
      <w:r w:rsidR="00C65EBA">
        <w:rPr>
          <w:szCs w:val="20"/>
        </w:rPr>
        <w:t>difficulty with the examination.</w:t>
      </w:r>
    </w:p>
    <w:p w:rsidR="00014178" w:rsidRPr="00E53EAF" w:rsidRDefault="00C65EBA" w:rsidP="005769C0">
      <w:pPr>
        <w:pStyle w:val="AHPRAbodyContextparanumbered"/>
        <w:ind w:left="0" w:hanging="425"/>
        <w:rPr>
          <w:szCs w:val="20"/>
        </w:rPr>
      </w:pPr>
      <w:r>
        <w:rPr>
          <w:szCs w:val="20"/>
        </w:rPr>
        <w:t>Candidates for the examination</w:t>
      </w:r>
      <w:r w:rsidR="00014178" w:rsidRPr="00E53EAF">
        <w:rPr>
          <w:szCs w:val="20"/>
        </w:rPr>
        <w:t xml:space="preserve"> </w:t>
      </w:r>
      <w:r>
        <w:rPr>
          <w:szCs w:val="20"/>
        </w:rPr>
        <w:t>should:</w:t>
      </w:r>
      <w:r w:rsidR="00014178" w:rsidRPr="00E53EAF">
        <w:rPr>
          <w:szCs w:val="20"/>
        </w:rPr>
        <w:t xml:space="preserve"> </w:t>
      </w:r>
    </w:p>
    <w:p w:rsidR="00014178" w:rsidRPr="00E53EAF" w:rsidRDefault="00F50DAC" w:rsidP="009D19A9">
      <w:pPr>
        <w:pStyle w:val="ListParagraph"/>
        <w:numPr>
          <w:ilvl w:val="0"/>
          <w:numId w:val="11"/>
        </w:numPr>
        <w:spacing w:after="120" w:line="276" w:lineRule="auto"/>
        <w:rPr>
          <w:rFonts w:ascii="Arial" w:hAnsi="Arial" w:cs="Arial"/>
          <w:sz w:val="20"/>
        </w:rPr>
      </w:pPr>
      <w:r>
        <w:rPr>
          <w:rFonts w:ascii="Arial" w:hAnsi="Arial" w:cs="Arial"/>
          <w:sz w:val="20"/>
        </w:rPr>
        <w:t>r</w:t>
      </w:r>
      <w:r w:rsidR="00014178" w:rsidRPr="00E53EAF">
        <w:rPr>
          <w:rFonts w:ascii="Arial" w:hAnsi="Arial" w:cs="Arial"/>
          <w:sz w:val="20"/>
        </w:rPr>
        <w:t xml:space="preserve">ead and understand the requirements of the </w:t>
      </w:r>
      <w:r w:rsidR="00014178" w:rsidRPr="00E53EAF">
        <w:rPr>
          <w:rFonts w:ascii="Arial" w:hAnsi="Arial" w:cs="Arial"/>
          <w:i/>
          <w:sz w:val="20"/>
        </w:rPr>
        <w:t>Professional capabilities for medical radiation practitioners</w:t>
      </w:r>
    </w:p>
    <w:p w:rsidR="00014178" w:rsidRPr="00E53EAF" w:rsidRDefault="00F50DAC" w:rsidP="009D19A9">
      <w:pPr>
        <w:pStyle w:val="ListParagraph"/>
        <w:numPr>
          <w:ilvl w:val="0"/>
          <w:numId w:val="11"/>
        </w:numPr>
        <w:spacing w:after="120" w:line="276" w:lineRule="auto"/>
        <w:rPr>
          <w:rFonts w:ascii="Arial" w:hAnsi="Arial" w:cs="Arial"/>
          <w:sz w:val="20"/>
        </w:rPr>
      </w:pPr>
      <w:r>
        <w:rPr>
          <w:rFonts w:ascii="Arial" w:hAnsi="Arial" w:cs="Arial"/>
          <w:sz w:val="20"/>
        </w:rPr>
        <w:t>r</w:t>
      </w:r>
      <w:r w:rsidR="00014178" w:rsidRPr="00E53EAF">
        <w:rPr>
          <w:rFonts w:ascii="Arial" w:hAnsi="Arial" w:cs="Arial"/>
          <w:sz w:val="20"/>
        </w:rPr>
        <w:t xml:space="preserve">eview the reading and resource list included at </w:t>
      </w:r>
      <w:r w:rsidR="00A142D6" w:rsidRPr="00A142D6">
        <w:rPr>
          <w:rFonts w:ascii="Arial" w:hAnsi="Arial" w:cs="Arial"/>
          <w:b/>
          <w:sz w:val="20"/>
        </w:rPr>
        <w:t>Appendix A</w:t>
      </w:r>
      <w:r w:rsidR="00014178" w:rsidRPr="00E53EAF">
        <w:rPr>
          <w:rFonts w:ascii="Arial" w:hAnsi="Arial" w:cs="Arial"/>
          <w:sz w:val="20"/>
        </w:rPr>
        <w:t xml:space="preserve">  and use these resources in conjunction with the </w:t>
      </w:r>
      <w:r w:rsidR="00014178" w:rsidRPr="00E53EAF">
        <w:rPr>
          <w:rFonts w:ascii="Arial" w:hAnsi="Arial" w:cs="Arial"/>
          <w:i/>
          <w:sz w:val="20"/>
        </w:rPr>
        <w:t>Professional capabilities for medical radiation practitioners</w:t>
      </w:r>
      <w:r w:rsidR="00014178" w:rsidRPr="00E53EAF">
        <w:rPr>
          <w:rFonts w:ascii="Arial" w:hAnsi="Arial" w:cs="Arial"/>
          <w:sz w:val="20"/>
        </w:rPr>
        <w:t xml:space="preserve"> </w:t>
      </w:r>
    </w:p>
    <w:p w:rsidR="00014178" w:rsidRPr="00E53EAF" w:rsidRDefault="00F50DAC" w:rsidP="009D19A9">
      <w:pPr>
        <w:pStyle w:val="ListParagraph"/>
        <w:numPr>
          <w:ilvl w:val="0"/>
          <w:numId w:val="11"/>
        </w:numPr>
        <w:spacing w:after="120" w:line="276" w:lineRule="auto"/>
        <w:rPr>
          <w:rFonts w:ascii="Arial" w:hAnsi="Arial" w:cs="Arial"/>
          <w:sz w:val="20"/>
        </w:rPr>
      </w:pPr>
      <w:r>
        <w:rPr>
          <w:rFonts w:ascii="Arial" w:hAnsi="Arial" w:cs="Arial"/>
          <w:sz w:val="20"/>
        </w:rPr>
        <w:t>d</w:t>
      </w:r>
      <w:r w:rsidR="00014178" w:rsidRPr="00E53EAF">
        <w:rPr>
          <w:rFonts w:ascii="Arial" w:hAnsi="Arial" w:cs="Arial"/>
          <w:sz w:val="20"/>
        </w:rPr>
        <w:t xml:space="preserve">evelop a program of revision of academic and professional literature that aims to meet the </w:t>
      </w:r>
      <w:r>
        <w:rPr>
          <w:rFonts w:ascii="Arial" w:hAnsi="Arial" w:cs="Arial"/>
          <w:i/>
          <w:sz w:val="20"/>
        </w:rPr>
        <w:t>p</w:t>
      </w:r>
      <w:r w:rsidR="00014178" w:rsidRPr="00C65EBA">
        <w:rPr>
          <w:rFonts w:ascii="Arial" w:hAnsi="Arial" w:cs="Arial"/>
          <w:i/>
          <w:sz w:val="20"/>
        </w:rPr>
        <w:t>rofessional capabilities</w:t>
      </w:r>
      <w:r w:rsidR="00014178" w:rsidRPr="00E53EAF">
        <w:rPr>
          <w:rFonts w:ascii="Arial" w:hAnsi="Arial" w:cs="Arial"/>
          <w:sz w:val="20"/>
        </w:rPr>
        <w:t xml:space="preserve"> requirements</w:t>
      </w:r>
      <w:r>
        <w:rPr>
          <w:rFonts w:ascii="Arial" w:hAnsi="Arial" w:cs="Arial"/>
          <w:sz w:val="20"/>
        </w:rPr>
        <w:t>, and</w:t>
      </w:r>
      <w:r w:rsidR="00971B6A">
        <w:rPr>
          <w:rFonts w:ascii="Arial" w:hAnsi="Arial" w:cs="Arial"/>
          <w:sz w:val="20"/>
        </w:rPr>
        <w:t>.</w:t>
      </w:r>
    </w:p>
    <w:p w:rsidR="00014178" w:rsidRDefault="00F50DAC" w:rsidP="009D19A9">
      <w:pPr>
        <w:pStyle w:val="ListParagraph"/>
        <w:numPr>
          <w:ilvl w:val="0"/>
          <w:numId w:val="11"/>
        </w:numPr>
        <w:spacing w:after="120" w:line="276" w:lineRule="auto"/>
        <w:rPr>
          <w:rFonts w:ascii="Arial" w:hAnsi="Arial" w:cs="Arial"/>
          <w:sz w:val="20"/>
        </w:rPr>
      </w:pPr>
      <w:r>
        <w:rPr>
          <w:rFonts w:ascii="Arial" w:hAnsi="Arial" w:cs="Arial"/>
          <w:sz w:val="20"/>
        </w:rPr>
        <w:t>a</w:t>
      </w:r>
      <w:r w:rsidR="0050702A">
        <w:rPr>
          <w:rFonts w:ascii="Arial" w:hAnsi="Arial" w:cs="Arial"/>
          <w:sz w:val="20"/>
        </w:rPr>
        <w:t xml:space="preserve">ttempt the </w:t>
      </w:r>
      <w:r>
        <w:rPr>
          <w:rFonts w:ascii="Arial" w:hAnsi="Arial" w:cs="Arial"/>
          <w:sz w:val="20"/>
        </w:rPr>
        <w:t>p</w:t>
      </w:r>
      <w:r w:rsidR="009C3872">
        <w:rPr>
          <w:rFonts w:ascii="Arial" w:hAnsi="Arial" w:cs="Arial"/>
          <w:sz w:val="20"/>
        </w:rPr>
        <w:t>ractice exam</w:t>
      </w:r>
    </w:p>
    <w:p w:rsidR="005806C4" w:rsidRPr="00E53EAF" w:rsidRDefault="005806C4" w:rsidP="005806C4">
      <w:pPr>
        <w:pStyle w:val="ListParagraph"/>
        <w:spacing w:after="120" w:line="276" w:lineRule="auto"/>
        <w:rPr>
          <w:rFonts w:ascii="Arial" w:hAnsi="Arial" w:cs="Arial"/>
          <w:sz w:val="20"/>
        </w:rPr>
      </w:pPr>
    </w:p>
    <w:p w:rsidR="00BF34CD" w:rsidRPr="00E53EAF" w:rsidRDefault="00BF34CD" w:rsidP="00BF34CD">
      <w:pPr>
        <w:spacing w:after="200" w:line="240" w:lineRule="auto"/>
        <w:rPr>
          <w:rFonts w:ascii="Arial" w:eastAsia="Times New Roman" w:hAnsi="Arial" w:cs="Times New Roman"/>
          <w:b/>
          <w:color w:val="007DC3"/>
          <w:sz w:val="20"/>
          <w:szCs w:val="24"/>
        </w:rPr>
      </w:pPr>
      <w:r>
        <w:rPr>
          <w:rFonts w:ascii="Arial" w:eastAsia="Times New Roman" w:hAnsi="Arial" w:cs="Times New Roman"/>
          <w:b/>
          <w:color w:val="007DC3"/>
          <w:sz w:val="20"/>
          <w:szCs w:val="24"/>
        </w:rPr>
        <w:t>Exa</w:t>
      </w:r>
      <w:r w:rsidRPr="00E53EAF">
        <w:rPr>
          <w:rFonts w:ascii="Arial" w:eastAsia="Times New Roman" w:hAnsi="Arial" w:cs="Times New Roman"/>
          <w:b/>
          <w:color w:val="007DC3"/>
          <w:sz w:val="20"/>
          <w:szCs w:val="24"/>
        </w:rPr>
        <w:t xml:space="preserve">mination </w:t>
      </w:r>
      <w:r>
        <w:rPr>
          <w:rFonts w:ascii="Arial" w:eastAsia="Times New Roman" w:hAnsi="Arial" w:cs="Times New Roman"/>
          <w:b/>
          <w:color w:val="007DC3"/>
          <w:sz w:val="20"/>
          <w:szCs w:val="24"/>
        </w:rPr>
        <w:t>r</w:t>
      </w:r>
      <w:r w:rsidRPr="00E53EAF">
        <w:rPr>
          <w:rFonts w:ascii="Arial" w:eastAsia="Times New Roman" w:hAnsi="Arial" w:cs="Times New Roman"/>
          <w:b/>
          <w:color w:val="007DC3"/>
          <w:sz w:val="20"/>
          <w:szCs w:val="24"/>
        </w:rPr>
        <w:t>ules</w:t>
      </w:r>
    </w:p>
    <w:p w:rsidR="00BF34CD" w:rsidRDefault="00BF34CD" w:rsidP="005769C0">
      <w:pPr>
        <w:pStyle w:val="AHPRAbodyContextparanumbered"/>
        <w:ind w:left="0" w:hanging="425"/>
        <w:rPr>
          <w:szCs w:val="20"/>
        </w:rPr>
      </w:pPr>
      <w:r w:rsidRPr="00E53EAF">
        <w:rPr>
          <w:szCs w:val="20"/>
        </w:rPr>
        <w:t>All formal examinations have rules in relation to th</w:t>
      </w:r>
      <w:r w:rsidR="004A7F96">
        <w:rPr>
          <w:szCs w:val="20"/>
        </w:rPr>
        <w:t>eir conduct</w:t>
      </w:r>
      <w:r w:rsidRPr="00E53EAF">
        <w:rPr>
          <w:szCs w:val="20"/>
        </w:rPr>
        <w:t>. More information on examination rules is available on the Board’s website</w:t>
      </w:r>
      <w:r>
        <w:rPr>
          <w:szCs w:val="20"/>
        </w:rPr>
        <w:t>. H</w:t>
      </w:r>
      <w:r w:rsidRPr="00E53EAF">
        <w:rPr>
          <w:szCs w:val="20"/>
        </w:rPr>
        <w:t>owever</w:t>
      </w:r>
      <w:r>
        <w:rPr>
          <w:szCs w:val="20"/>
        </w:rPr>
        <w:t>,</w:t>
      </w:r>
      <w:r w:rsidRPr="00E53EAF">
        <w:rPr>
          <w:szCs w:val="20"/>
        </w:rPr>
        <w:t xml:space="preserve"> there are some rules that, if breached, would have a significant impact on the candidate’s future capacity to be or remain registered.</w:t>
      </w:r>
    </w:p>
    <w:p w:rsidR="00C05F8B" w:rsidRPr="00E53EAF" w:rsidRDefault="00C05F8B" w:rsidP="00C05F8B">
      <w:pPr>
        <w:pStyle w:val="AHPRAbodyContextparanumbered"/>
        <w:ind w:left="0" w:hanging="425"/>
        <w:rPr>
          <w:szCs w:val="20"/>
        </w:rPr>
      </w:pPr>
      <w:r>
        <w:rPr>
          <w:szCs w:val="20"/>
        </w:rPr>
        <w:t>Before</w:t>
      </w:r>
      <w:r w:rsidRPr="00E53EAF">
        <w:rPr>
          <w:szCs w:val="20"/>
        </w:rPr>
        <w:t xml:space="preserve"> sitting the examination, candidates will be required to agree to a set of terms and conditions regarding the examination, including keeping the content of the examination and questions confidential.</w:t>
      </w:r>
    </w:p>
    <w:p w:rsidR="00C05F8B" w:rsidRPr="00E53EAF" w:rsidRDefault="00C05F8B" w:rsidP="00C05F8B">
      <w:pPr>
        <w:pStyle w:val="AHPRAbodyContextparanumbered"/>
        <w:ind w:left="0" w:hanging="425"/>
        <w:rPr>
          <w:szCs w:val="20"/>
        </w:rPr>
      </w:pPr>
      <w:r w:rsidRPr="00E53EAF">
        <w:rPr>
          <w:szCs w:val="20"/>
        </w:rPr>
        <w:t xml:space="preserve">Candidates will not be permitted </w:t>
      </w:r>
      <w:r w:rsidR="00E27C47">
        <w:rPr>
          <w:szCs w:val="20"/>
        </w:rPr>
        <w:t xml:space="preserve">to take into the examination venue or to use </w:t>
      </w:r>
      <w:r w:rsidRPr="00E53EAF">
        <w:rPr>
          <w:szCs w:val="20"/>
        </w:rPr>
        <w:t xml:space="preserve">any reference material (electronic or hard copy) during the examination. Mobile phones and other equipment must not be taken into the examination. Access to the </w:t>
      </w:r>
      <w:r>
        <w:rPr>
          <w:szCs w:val="20"/>
        </w:rPr>
        <w:t>I</w:t>
      </w:r>
      <w:r w:rsidRPr="00E53EAF">
        <w:rPr>
          <w:szCs w:val="20"/>
        </w:rPr>
        <w:t xml:space="preserve">nternet will not be permitted in the examination rooms or in the examination waiting areas. </w:t>
      </w:r>
    </w:p>
    <w:p w:rsidR="007A69D0" w:rsidRPr="00F50DAC" w:rsidRDefault="00E130BC" w:rsidP="007A69D0">
      <w:pPr>
        <w:pStyle w:val="AHPRAnumberedbulletpoint"/>
        <w:spacing w:before="120" w:after="80"/>
        <w:rPr>
          <w:b/>
          <w:lang w:val="en-AU"/>
        </w:rPr>
      </w:pPr>
      <w:r w:rsidRPr="00E130BC">
        <w:rPr>
          <w:b/>
          <w:lang w:val="en-AU"/>
        </w:rPr>
        <w:t>Breach of the code of conduct</w:t>
      </w:r>
    </w:p>
    <w:p w:rsidR="007A69D0" w:rsidRPr="00C65EBA" w:rsidRDefault="007A69D0" w:rsidP="007A69D0">
      <w:pPr>
        <w:pStyle w:val="AHPRAbodyContextparanumbered"/>
        <w:ind w:left="0" w:hanging="425"/>
        <w:rPr>
          <w:szCs w:val="20"/>
        </w:rPr>
      </w:pPr>
      <w:r w:rsidRPr="00E53EAF">
        <w:rPr>
          <w:szCs w:val="20"/>
        </w:rPr>
        <w:t xml:space="preserve">Candidates sitting an examination are subject to the </w:t>
      </w:r>
      <w:r>
        <w:rPr>
          <w:szCs w:val="20"/>
        </w:rPr>
        <w:t xml:space="preserve">usual </w:t>
      </w:r>
      <w:r w:rsidRPr="00E53EAF">
        <w:rPr>
          <w:szCs w:val="20"/>
        </w:rPr>
        <w:t xml:space="preserve">rules of </w:t>
      </w:r>
      <w:r>
        <w:rPr>
          <w:szCs w:val="20"/>
        </w:rPr>
        <w:t>ethical and professional conduct.</w:t>
      </w:r>
    </w:p>
    <w:p w:rsidR="007A69D0" w:rsidRDefault="00C05F8B" w:rsidP="007A69D0">
      <w:pPr>
        <w:pStyle w:val="AHPRAbodyContextparanumbered"/>
        <w:ind w:left="0" w:hanging="425"/>
        <w:rPr>
          <w:szCs w:val="20"/>
        </w:rPr>
      </w:pPr>
      <w:r w:rsidRPr="00E53EAF">
        <w:rPr>
          <w:szCs w:val="20"/>
        </w:rPr>
        <w:t xml:space="preserve">Failure to comply with the rules of an examination or any instruction of the </w:t>
      </w:r>
      <w:r w:rsidR="00A3518E">
        <w:rPr>
          <w:szCs w:val="20"/>
        </w:rPr>
        <w:t xml:space="preserve">invigilator </w:t>
      </w:r>
      <w:r w:rsidRPr="00E53EAF">
        <w:rPr>
          <w:szCs w:val="20"/>
        </w:rPr>
        <w:t xml:space="preserve">may be regarded as a breach of professional conduct. </w:t>
      </w:r>
    </w:p>
    <w:p w:rsidR="00C05F8B" w:rsidRPr="007A69D0" w:rsidRDefault="007A69D0" w:rsidP="007A69D0">
      <w:pPr>
        <w:pStyle w:val="AHPRAbodyContextparanumbered"/>
        <w:ind w:left="0" w:hanging="425"/>
        <w:rPr>
          <w:szCs w:val="20"/>
        </w:rPr>
      </w:pPr>
      <w:r w:rsidRPr="00E53EAF">
        <w:rPr>
          <w:szCs w:val="20"/>
        </w:rPr>
        <w:t>A notification may be made against a candidate sitting an examination by any person, including an exam invigilator</w:t>
      </w:r>
      <w:r>
        <w:rPr>
          <w:szCs w:val="20"/>
        </w:rPr>
        <w:t>.</w:t>
      </w:r>
    </w:p>
    <w:p w:rsidR="00C65EBA" w:rsidRPr="007141C1" w:rsidRDefault="00C05F8B" w:rsidP="009D19A9">
      <w:pPr>
        <w:pStyle w:val="AHPRAbodyContextparanumbered"/>
        <w:ind w:left="0" w:hanging="425"/>
        <w:rPr>
          <w:szCs w:val="20"/>
        </w:rPr>
      </w:pPr>
      <w:r w:rsidRPr="00E53EAF">
        <w:rPr>
          <w:szCs w:val="20"/>
        </w:rPr>
        <w:t xml:space="preserve">The Board regards misconduct during an examination as a serious matter. </w:t>
      </w:r>
      <w:r w:rsidR="0050702A">
        <w:rPr>
          <w:szCs w:val="20"/>
        </w:rPr>
        <w:t>F</w:t>
      </w:r>
      <w:r w:rsidR="0050702A" w:rsidRPr="00E53EAF">
        <w:rPr>
          <w:szCs w:val="20"/>
        </w:rPr>
        <w:t xml:space="preserve">alsifying </w:t>
      </w:r>
      <w:r w:rsidR="0050702A">
        <w:rPr>
          <w:szCs w:val="20"/>
        </w:rPr>
        <w:t>results,</w:t>
      </w:r>
      <w:r w:rsidR="0050702A" w:rsidRPr="00E53EAF">
        <w:rPr>
          <w:szCs w:val="20"/>
        </w:rPr>
        <w:t xml:space="preserve"> </w:t>
      </w:r>
      <w:r w:rsidR="0050702A">
        <w:rPr>
          <w:szCs w:val="20"/>
        </w:rPr>
        <w:t xml:space="preserve">fraudulent or dishonest </w:t>
      </w:r>
      <w:r w:rsidR="0050702A" w:rsidRPr="00E53EAF">
        <w:rPr>
          <w:szCs w:val="20"/>
        </w:rPr>
        <w:t>conduct</w:t>
      </w:r>
      <w:r w:rsidR="0050702A">
        <w:rPr>
          <w:szCs w:val="20"/>
        </w:rPr>
        <w:t xml:space="preserve"> in connection with an examination</w:t>
      </w:r>
      <w:r w:rsidRPr="00E53EAF">
        <w:rPr>
          <w:szCs w:val="20"/>
        </w:rPr>
        <w:t xml:space="preserve"> has the potential for practitioners who are not </w:t>
      </w:r>
      <w:r w:rsidR="00E27C47">
        <w:rPr>
          <w:szCs w:val="20"/>
        </w:rPr>
        <w:t xml:space="preserve">qualified or not </w:t>
      </w:r>
      <w:r w:rsidRPr="00E53EAF">
        <w:rPr>
          <w:szCs w:val="20"/>
        </w:rPr>
        <w:t>otherwise competent and safe to practi</w:t>
      </w:r>
      <w:r>
        <w:rPr>
          <w:szCs w:val="20"/>
        </w:rPr>
        <w:t>s</w:t>
      </w:r>
      <w:r w:rsidRPr="00E53EAF">
        <w:rPr>
          <w:szCs w:val="20"/>
        </w:rPr>
        <w:t>e</w:t>
      </w:r>
      <w:r w:rsidR="007A69D0">
        <w:rPr>
          <w:szCs w:val="20"/>
        </w:rPr>
        <w:t>,</w:t>
      </w:r>
      <w:r w:rsidRPr="00E53EAF">
        <w:rPr>
          <w:szCs w:val="20"/>
        </w:rPr>
        <w:t xml:space="preserve"> to be improperly registered. </w:t>
      </w:r>
      <w:r w:rsidR="0050702A">
        <w:rPr>
          <w:szCs w:val="20"/>
        </w:rPr>
        <w:t xml:space="preserve">In such cases the Board will </w:t>
      </w:r>
      <w:r w:rsidR="00E27C47">
        <w:rPr>
          <w:szCs w:val="20"/>
        </w:rPr>
        <w:t xml:space="preserve">consider any complaint and may </w:t>
      </w:r>
      <w:r w:rsidR="0050702A">
        <w:rPr>
          <w:szCs w:val="20"/>
        </w:rPr>
        <w:t>refer the matter to a responsible tribunal</w:t>
      </w:r>
      <w:r w:rsidR="007A69D0">
        <w:rPr>
          <w:szCs w:val="20"/>
        </w:rPr>
        <w:t xml:space="preserve">. If </w:t>
      </w:r>
      <w:r w:rsidR="00E27C47">
        <w:rPr>
          <w:szCs w:val="20"/>
        </w:rPr>
        <w:t>a tribunal finds a</w:t>
      </w:r>
      <w:r w:rsidR="007A69D0">
        <w:rPr>
          <w:szCs w:val="20"/>
        </w:rPr>
        <w:t xml:space="preserve"> complaint sustained</w:t>
      </w:r>
      <w:r w:rsidR="00E27C47">
        <w:rPr>
          <w:szCs w:val="20"/>
        </w:rPr>
        <w:t xml:space="preserve"> it</w:t>
      </w:r>
      <w:r w:rsidR="007A69D0">
        <w:rPr>
          <w:szCs w:val="20"/>
        </w:rPr>
        <w:t xml:space="preserve"> may make a range of orders including cancellation of registration and disqualifying a person from applying for registration for a specified period.</w:t>
      </w:r>
      <w:r w:rsidR="007141C1">
        <w:rPr>
          <w:szCs w:val="20"/>
        </w:rPr>
        <w:t xml:space="preserve"> </w:t>
      </w:r>
    </w:p>
    <w:p w:rsidR="00BF34CD" w:rsidRPr="00F50DAC" w:rsidRDefault="00E130BC" w:rsidP="00BF34CD">
      <w:pPr>
        <w:pStyle w:val="AHPRAnumberedbulletpoint"/>
        <w:spacing w:before="120" w:after="80"/>
        <w:rPr>
          <w:b/>
          <w:lang w:val="en-AU"/>
        </w:rPr>
      </w:pPr>
      <w:r w:rsidRPr="00E130BC">
        <w:rPr>
          <w:b/>
          <w:lang w:val="en-AU"/>
        </w:rPr>
        <w:t>Meeting identification requirements</w:t>
      </w:r>
    </w:p>
    <w:p w:rsidR="00BF34CD" w:rsidRPr="00E53EAF" w:rsidRDefault="00BF34CD" w:rsidP="009D298F">
      <w:pPr>
        <w:pStyle w:val="AHPRAbodyContextparanumbered"/>
        <w:ind w:left="0" w:hanging="425"/>
        <w:rPr>
          <w:szCs w:val="20"/>
        </w:rPr>
      </w:pPr>
      <w:r w:rsidRPr="00E53EAF">
        <w:rPr>
          <w:szCs w:val="20"/>
        </w:rPr>
        <w:t xml:space="preserve">Examination centres will require each candidate to provide </w:t>
      </w:r>
      <w:r>
        <w:rPr>
          <w:szCs w:val="20"/>
        </w:rPr>
        <w:t>two</w:t>
      </w:r>
      <w:r w:rsidRPr="00E53EAF">
        <w:rPr>
          <w:szCs w:val="20"/>
        </w:rPr>
        <w:t xml:space="preserve"> forms of identification, one of which must be a government issued </w:t>
      </w:r>
      <w:r w:rsidR="00C65EBA">
        <w:rPr>
          <w:szCs w:val="20"/>
        </w:rPr>
        <w:t>photo identification.</w:t>
      </w:r>
      <w:r w:rsidR="009D298F" w:rsidRPr="009D298F">
        <w:rPr>
          <w:szCs w:val="20"/>
        </w:rPr>
        <w:t xml:space="preserve"> </w:t>
      </w:r>
      <w:r w:rsidR="009D298F">
        <w:rPr>
          <w:szCs w:val="20"/>
        </w:rPr>
        <w:t>To satisfy the</w:t>
      </w:r>
      <w:r w:rsidR="00A3518E">
        <w:rPr>
          <w:szCs w:val="20"/>
        </w:rPr>
        <w:t xml:space="preserve"> identification requirements a</w:t>
      </w:r>
      <w:r w:rsidR="00B60C69">
        <w:rPr>
          <w:szCs w:val="20"/>
        </w:rPr>
        <w:t>n</w:t>
      </w:r>
      <w:r w:rsidR="00A3518E">
        <w:rPr>
          <w:szCs w:val="20"/>
        </w:rPr>
        <w:t xml:space="preserve"> </w:t>
      </w:r>
      <w:r w:rsidR="009D298F">
        <w:rPr>
          <w:szCs w:val="20"/>
        </w:rPr>
        <w:t>invigilator may ask you to produce additional photographic identification. You should therefore consider bringing more than one form of photographic identification</w:t>
      </w:r>
      <w:r w:rsidR="005D684E">
        <w:rPr>
          <w:szCs w:val="20"/>
        </w:rPr>
        <w:t>,</w:t>
      </w:r>
      <w:r w:rsidR="009D298F">
        <w:rPr>
          <w:szCs w:val="20"/>
        </w:rPr>
        <w:t xml:space="preserve"> from a reputable source</w:t>
      </w:r>
      <w:r w:rsidR="005D684E">
        <w:rPr>
          <w:szCs w:val="20"/>
        </w:rPr>
        <w:t>,</w:t>
      </w:r>
      <w:r w:rsidR="009D298F">
        <w:rPr>
          <w:szCs w:val="20"/>
        </w:rPr>
        <w:t xml:space="preserve"> to establish your identification.</w:t>
      </w:r>
    </w:p>
    <w:p w:rsidR="009D298F" w:rsidRDefault="00A3518E" w:rsidP="009D298F">
      <w:pPr>
        <w:pStyle w:val="AHPRAbodyContextparanumbered"/>
        <w:ind w:left="0" w:hanging="425"/>
        <w:rPr>
          <w:szCs w:val="20"/>
        </w:rPr>
      </w:pPr>
      <w:r>
        <w:rPr>
          <w:szCs w:val="20"/>
        </w:rPr>
        <w:t>Where a</w:t>
      </w:r>
      <w:r w:rsidR="00B60C69">
        <w:rPr>
          <w:szCs w:val="20"/>
        </w:rPr>
        <w:t>n</w:t>
      </w:r>
      <w:r>
        <w:rPr>
          <w:szCs w:val="20"/>
        </w:rPr>
        <w:t xml:space="preserve"> </w:t>
      </w:r>
      <w:r w:rsidR="009D298F">
        <w:rPr>
          <w:szCs w:val="20"/>
        </w:rPr>
        <w:t xml:space="preserve">invigilator has a reasonable concern about your </w:t>
      </w:r>
      <w:r>
        <w:rPr>
          <w:szCs w:val="20"/>
        </w:rPr>
        <w:t xml:space="preserve">ability to properly establish your identify or there is a concern that identity documents are being misused, </w:t>
      </w:r>
      <w:r w:rsidR="009D298F">
        <w:rPr>
          <w:szCs w:val="20"/>
        </w:rPr>
        <w:t xml:space="preserve">you </w:t>
      </w:r>
      <w:r w:rsidR="007141C1">
        <w:rPr>
          <w:szCs w:val="20"/>
        </w:rPr>
        <w:t>will</w:t>
      </w:r>
      <w:r w:rsidR="009D298F">
        <w:rPr>
          <w:szCs w:val="20"/>
        </w:rPr>
        <w:t xml:space="preserve"> be refused access to the exam.</w:t>
      </w:r>
    </w:p>
    <w:p w:rsidR="00A3518E" w:rsidRDefault="00A3518E" w:rsidP="00A3518E">
      <w:pPr>
        <w:pStyle w:val="AHPRAbodyContextparanumbered"/>
        <w:ind w:left="0" w:hanging="425"/>
        <w:rPr>
          <w:szCs w:val="20"/>
        </w:rPr>
      </w:pPr>
      <w:r>
        <w:rPr>
          <w:szCs w:val="20"/>
        </w:rPr>
        <w:lastRenderedPageBreak/>
        <w:t>Fraudulent use of identity documents is a serious matter and may be referred to police.</w:t>
      </w:r>
    </w:p>
    <w:p w:rsidR="007A69D0" w:rsidRPr="007A69D0" w:rsidRDefault="00107ACF" w:rsidP="007A69D0">
      <w:pPr>
        <w:pStyle w:val="AHPRAbodyContextparanumbered"/>
        <w:ind w:left="0" w:hanging="425"/>
        <w:rPr>
          <w:szCs w:val="20"/>
        </w:rPr>
      </w:pPr>
      <w:r>
        <w:rPr>
          <w:szCs w:val="20"/>
        </w:rPr>
        <w:t xml:space="preserve">If you are refused access to the exam you </w:t>
      </w:r>
      <w:r w:rsidR="00BF34CD" w:rsidRPr="00E53EAF">
        <w:rPr>
          <w:szCs w:val="20"/>
        </w:rPr>
        <w:t>will forfeit the fees paid to sit the examination.</w:t>
      </w:r>
    </w:p>
    <w:p w:rsidR="00014178" w:rsidRPr="00E53EAF" w:rsidRDefault="004809C0" w:rsidP="009753CC">
      <w:pPr>
        <w:spacing w:after="200" w:line="240" w:lineRule="auto"/>
        <w:rPr>
          <w:rFonts w:ascii="Arial" w:eastAsia="Times New Roman" w:hAnsi="Arial" w:cs="Times New Roman"/>
          <w:b/>
          <w:color w:val="007DC3"/>
          <w:sz w:val="20"/>
          <w:szCs w:val="24"/>
        </w:rPr>
      </w:pPr>
      <w:r>
        <w:rPr>
          <w:rFonts w:ascii="Arial" w:eastAsia="Times New Roman" w:hAnsi="Arial" w:cs="Times New Roman"/>
          <w:b/>
          <w:color w:val="007DC3"/>
          <w:sz w:val="20"/>
          <w:szCs w:val="24"/>
        </w:rPr>
        <w:t>Scoring the examination</w:t>
      </w:r>
    </w:p>
    <w:p w:rsidR="00014178" w:rsidRPr="00E53EAF" w:rsidRDefault="00014178" w:rsidP="005769C0">
      <w:pPr>
        <w:pStyle w:val="AHPRAbodyContextparanumbered"/>
        <w:ind w:left="0" w:hanging="425"/>
        <w:rPr>
          <w:szCs w:val="20"/>
        </w:rPr>
      </w:pPr>
      <w:r w:rsidRPr="00E53EAF">
        <w:rPr>
          <w:szCs w:val="20"/>
        </w:rPr>
        <w:t>The examination operates as a pass/fail examina</w:t>
      </w:r>
      <w:r w:rsidR="00B60C69">
        <w:rPr>
          <w:szCs w:val="20"/>
        </w:rPr>
        <w:t>tion, with the pass mark set that ensures practitioners adequately meet</w:t>
      </w:r>
      <w:r w:rsidRPr="00E53EAF">
        <w:rPr>
          <w:szCs w:val="20"/>
        </w:rPr>
        <w:t xml:space="preserve"> </w:t>
      </w:r>
      <w:r w:rsidR="00B60C69">
        <w:rPr>
          <w:szCs w:val="20"/>
        </w:rPr>
        <w:t>the</w:t>
      </w:r>
      <w:r w:rsidRPr="00E53EAF">
        <w:rPr>
          <w:szCs w:val="20"/>
        </w:rPr>
        <w:t xml:space="preserve"> Board’s </w:t>
      </w:r>
      <w:r w:rsidRPr="00E53EAF">
        <w:rPr>
          <w:i/>
          <w:szCs w:val="20"/>
        </w:rPr>
        <w:t>Professional capabilities for medical radiation practitioners</w:t>
      </w:r>
      <w:r w:rsidRPr="00E53EAF">
        <w:rPr>
          <w:szCs w:val="20"/>
        </w:rPr>
        <w:t xml:space="preserve">. All questions are of equal value. There is no weighting of questions in terms of </w:t>
      </w:r>
      <w:r w:rsidR="00F54ADC">
        <w:rPr>
          <w:szCs w:val="20"/>
        </w:rPr>
        <w:t>their</w:t>
      </w:r>
      <w:r w:rsidRPr="00E53EAF">
        <w:rPr>
          <w:szCs w:val="20"/>
        </w:rPr>
        <w:t xml:space="preserve"> contribution to the candidate</w:t>
      </w:r>
      <w:r w:rsidR="0002774D">
        <w:rPr>
          <w:szCs w:val="20"/>
        </w:rPr>
        <w:t>’</w:t>
      </w:r>
      <w:r w:rsidRPr="00E53EAF">
        <w:rPr>
          <w:szCs w:val="20"/>
        </w:rPr>
        <w:t>s overall examination mark.</w:t>
      </w:r>
    </w:p>
    <w:p w:rsidR="00014178" w:rsidRPr="00E53EAF" w:rsidRDefault="00014178" w:rsidP="005769C0">
      <w:pPr>
        <w:pStyle w:val="AHPRAbodyContextparanumbered"/>
        <w:ind w:left="0" w:hanging="425"/>
        <w:rPr>
          <w:szCs w:val="20"/>
        </w:rPr>
      </w:pPr>
      <w:r w:rsidRPr="00E53EAF">
        <w:rPr>
          <w:szCs w:val="20"/>
        </w:rPr>
        <w:t xml:space="preserve">The passing score is determined by the Board’s National Examination Committee (NEC) prior to each exam and is set in order to ensure that </w:t>
      </w:r>
      <w:r w:rsidR="00E27C47">
        <w:rPr>
          <w:szCs w:val="20"/>
        </w:rPr>
        <w:t>a passing score ensures that candidates are safe to practice.</w:t>
      </w:r>
    </w:p>
    <w:p w:rsidR="00014178" w:rsidRDefault="00014178" w:rsidP="005769C0">
      <w:pPr>
        <w:pStyle w:val="AHPRAbodyContextparanumbered"/>
        <w:ind w:left="0" w:hanging="425"/>
        <w:rPr>
          <w:szCs w:val="20"/>
        </w:rPr>
      </w:pPr>
      <w:r w:rsidRPr="00E53EAF">
        <w:rPr>
          <w:szCs w:val="20"/>
        </w:rPr>
        <w:t>When setting the passing score, the NEC considers other data</w:t>
      </w:r>
      <w:r w:rsidR="00E27C47">
        <w:rPr>
          <w:szCs w:val="20"/>
        </w:rPr>
        <w:t xml:space="preserve">, including statistical and performance data, </w:t>
      </w:r>
      <w:r w:rsidRPr="00E53EAF">
        <w:rPr>
          <w:szCs w:val="20"/>
        </w:rPr>
        <w:t xml:space="preserve"> to ensure the standard that candidates must achieve is fair, valid and consistent with the principles </w:t>
      </w:r>
      <w:r w:rsidR="009753CC" w:rsidRPr="00E53EAF">
        <w:rPr>
          <w:szCs w:val="20"/>
        </w:rPr>
        <w:t>and objectives of the National Law</w:t>
      </w:r>
      <w:r w:rsidRPr="00E53EAF">
        <w:rPr>
          <w:szCs w:val="20"/>
        </w:rPr>
        <w:t xml:space="preserve">. </w:t>
      </w:r>
    </w:p>
    <w:p w:rsidR="00C64E99" w:rsidRPr="00E53EAF" w:rsidRDefault="00C64E99" w:rsidP="005769C0">
      <w:pPr>
        <w:pStyle w:val="AHPRAbodyContextparanumbered"/>
        <w:ind w:left="0" w:hanging="425"/>
        <w:rPr>
          <w:szCs w:val="20"/>
        </w:rPr>
      </w:pPr>
      <w:r>
        <w:rPr>
          <w:szCs w:val="20"/>
        </w:rPr>
        <w:t xml:space="preserve">The passing score may be </w:t>
      </w:r>
      <w:r w:rsidR="004809C0">
        <w:rPr>
          <w:szCs w:val="20"/>
        </w:rPr>
        <w:t>adjusted</w:t>
      </w:r>
      <w:r>
        <w:rPr>
          <w:szCs w:val="20"/>
        </w:rPr>
        <w:t xml:space="preserve"> after the con</w:t>
      </w:r>
      <w:r w:rsidR="004809C0">
        <w:rPr>
          <w:szCs w:val="20"/>
        </w:rPr>
        <w:t xml:space="preserve">duct of examination. </w:t>
      </w:r>
      <w:r w:rsidR="007A69D0">
        <w:rPr>
          <w:szCs w:val="20"/>
        </w:rPr>
        <w:t>For illustration purposes only - o</w:t>
      </w:r>
      <w:r w:rsidR="004809C0">
        <w:rPr>
          <w:szCs w:val="20"/>
        </w:rPr>
        <w:t>n occasion a parti</w:t>
      </w:r>
      <w:r w:rsidR="00490D70">
        <w:rPr>
          <w:szCs w:val="20"/>
        </w:rPr>
        <w:t>cular question and its answer (</w:t>
      </w:r>
      <w:r w:rsidR="004809C0">
        <w:rPr>
          <w:szCs w:val="20"/>
        </w:rPr>
        <w:t>and</w:t>
      </w:r>
      <w:r w:rsidR="00490D70">
        <w:rPr>
          <w:szCs w:val="20"/>
        </w:rPr>
        <w:t>/or</w:t>
      </w:r>
      <w:r w:rsidR="004809C0">
        <w:rPr>
          <w:szCs w:val="20"/>
        </w:rPr>
        <w:t xml:space="preserve"> distracters) may have become impossible to use accurately</w:t>
      </w:r>
      <w:r w:rsidR="00490D70">
        <w:rPr>
          <w:szCs w:val="20"/>
        </w:rPr>
        <w:t>. This may be</w:t>
      </w:r>
      <w:r w:rsidR="004809C0">
        <w:rPr>
          <w:szCs w:val="20"/>
        </w:rPr>
        <w:t xml:space="preserve"> </w:t>
      </w:r>
      <w:r w:rsidR="00490D70">
        <w:rPr>
          <w:szCs w:val="20"/>
        </w:rPr>
        <w:t>due to</w:t>
      </w:r>
      <w:r w:rsidR="004809C0">
        <w:rPr>
          <w:szCs w:val="20"/>
        </w:rPr>
        <w:t xml:space="preserve"> t</w:t>
      </w:r>
      <w:r w:rsidR="00490D70">
        <w:rPr>
          <w:szCs w:val="20"/>
        </w:rPr>
        <w:t xml:space="preserve">he grammar or expression used, or, on review, </w:t>
      </w:r>
      <w:r w:rsidR="004809C0">
        <w:rPr>
          <w:szCs w:val="20"/>
        </w:rPr>
        <w:t>there is more than one reasonable answer for a question</w:t>
      </w:r>
      <w:r w:rsidR="00490D70">
        <w:rPr>
          <w:szCs w:val="20"/>
        </w:rPr>
        <w:t xml:space="preserve">. In these circumstances </w:t>
      </w:r>
      <w:r w:rsidR="009D298F">
        <w:rPr>
          <w:szCs w:val="20"/>
        </w:rPr>
        <w:t>a</w:t>
      </w:r>
      <w:r w:rsidR="00490D70">
        <w:rPr>
          <w:szCs w:val="20"/>
        </w:rPr>
        <w:t xml:space="preserve"> question may be removed from the exam and marks for all examinees adjusted accordingly.</w:t>
      </w:r>
    </w:p>
    <w:p w:rsidR="00014178" w:rsidRPr="00E966FC" w:rsidRDefault="00E130BC" w:rsidP="00766317">
      <w:pPr>
        <w:pStyle w:val="AHPRAnumberedbulletpoint"/>
        <w:spacing w:before="120" w:after="80"/>
        <w:rPr>
          <w:b/>
          <w:lang w:val="en-AU"/>
        </w:rPr>
      </w:pPr>
      <w:r w:rsidRPr="00E130BC">
        <w:rPr>
          <w:b/>
          <w:lang w:val="en-AU"/>
        </w:rPr>
        <w:t>Previous exam papers</w:t>
      </w:r>
    </w:p>
    <w:p w:rsidR="00014178" w:rsidRPr="00E53EAF" w:rsidRDefault="00014178" w:rsidP="005769C0">
      <w:pPr>
        <w:pStyle w:val="AHPRAbodyContextparanumbered"/>
        <w:ind w:left="0" w:hanging="425"/>
        <w:rPr>
          <w:szCs w:val="20"/>
        </w:rPr>
      </w:pPr>
      <w:r w:rsidRPr="00E53EAF">
        <w:rPr>
          <w:szCs w:val="20"/>
        </w:rPr>
        <w:t xml:space="preserve">Previous exam papers will not be made available. </w:t>
      </w:r>
    </w:p>
    <w:p w:rsidR="00014178" w:rsidRPr="00E966FC" w:rsidRDefault="00E130BC" w:rsidP="00766317">
      <w:pPr>
        <w:pStyle w:val="AHPRAnumberedbulletpoint"/>
        <w:spacing w:before="120" w:after="80"/>
        <w:rPr>
          <w:b/>
          <w:lang w:val="en-AU"/>
        </w:rPr>
      </w:pPr>
      <w:r w:rsidRPr="00E130BC">
        <w:rPr>
          <w:b/>
          <w:lang w:val="en-AU"/>
        </w:rPr>
        <w:t>Practice examination</w:t>
      </w:r>
    </w:p>
    <w:p w:rsidR="00C64E99" w:rsidRPr="00C64E99" w:rsidRDefault="00014178" w:rsidP="005769C0">
      <w:pPr>
        <w:pStyle w:val="AHPRAbodyContextparanumbered"/>
        <w:ind w:left="0" w:hanging="425"/>
        <w:rPr>
          <w:szCs w:val="20"/>
        </w:rPr>
      </w:pPr>
      <w:r w:rsidRPr="00E53EAF">
        <w:rPr>
          <w:szCs w:val="20"/>
        </w:rPr>
        <w:t xml:space="preserve">A practice exam is available for registered practitioners who have registered and paid to sit an examination. The practice exam is </w:t>
      </w:r>
      <w:r w:rsidR="0002774D">
        <w:rPr>
          <w:szCs w:val="20"/>
        </w:rPr>
        <w:t xml:space="preserve">a </w:t>
      </w:r>
      <w:r w:rsidRPr="00E53EAF">
        <w:rPr>
          <w:szCs w:val="20"/>
        </w:rPr>
        <w:t>sample set of questions that provides candidate</w:t>
      </w:r>
      <w:r w:rsidR="00E966FC">
        <w:rPr>
          <w:szCs w:val="20"/>
        </w:rPr>
        <w:t>s</w:t>
      </w:r>
      <w:r w:rsidRPr="00E53EAF">
        <w:rPr>
          <w:szCs w:val="20"/>
        </w:rPr>
        <w:t xml:space="preserve"> with a sense of how the exam is structured, the types and style of questions and how exam time will need to be managed. </w:t>
      </w:r>
    </w:p>
    <w:p w:rsidR="00FF0EA7" w:rsidRPr="00E53EAF" w:rsidRDefault="00FF0EA7" w:rsidP="00FF0EA7">
      <w:pPr>
        <w:spacing w:after="200" w:line="240" w:lineRule="auto"/>
        <w:rPr>
          <w:rFonts w:ascii="Arial" w:eastAsia="Times New Roman" w:hAnsi="Arial" w:cs="Times New Roman"/>
          <w:b/>
          <w:color w:val="007DC3"/>
          <w:sz w:val="20"/>
          <w:szCs w:val="24"/>
        </w:rPr>
      </w:pPr>
      <w:r w:rsidRPr="00E53EAF">
        <w:rPr>
          <w:rFonts w:ascii="Arial" w:eastAsia="Times New Roman" w:hAnsi="Arial" w:cs="Times New Roman"/>
          <w:b/>
          <w:color w:val="007DC3"/>
          <w:sz w:val="20"/>
          <w:szCs w:val="24"/>
        </w:rPr>
        <w:t>Examination results</w:t>
      </w:r>
    </w:p>
    <w:p w:rsidR="00E27C47" w:rsidRPr="00E27C47" w:rsidRDefault="00FF0EA7" w:rsidP="00E27C47">
      <w:pPr>
        <w:pStyle w:val="AHPRAbodyContextparanumbered"/>
        <w:ind w:left="0" w:hanging="425"/>
        <w:rPr>
          <w:szCs w:val="20"/>
        </w:rPr>
      </w:pPr>
      <w:r w:rsidRPr="007141C1">
        <w:rPr>
          <w:szCs w:val="20"/>
        </w:rPr>
        <w:t>P</w:t>
      </w:r>
      <w:r w:rsidR="00BF34CD" w:rsidRPr="007141C1">
        <w:rPr>
          <w:szCs w:val="20"/>
        </w:rPr>
        <w:t xml:space="preserve">ractitioners will have three opportunities to pass the </w:t>
      </w:r>
      <w:r w:rsidRPr="007141C1">
        <w:rPr>
          <w:szCs w:val="20"/>
        </w:rPr>
        <w:t>examination. If you have not passed the examination on your third attempt the Board is of the general view that you are not able to apply foundational knowledge and concepts to the minimum level required for safe practice. If the Board proposes to decline your application for registration or renewal of registration you will have an opportunity to make a submission.</w:t>
      </w:r>
      <w:r w:rsidR="007141C1" w:rsidRPr="007141C1">
        <w:t xml:space="preserve"> </w:t>
      </w:r>
    </w:p>
    <w:p w:rsidR="007141C1" w:rsidRDefault="0022351C" w:rsidP="007141C1">
      <w:pPr>
        <w:spacing w:after="200" w:line="240" w:lineRule="auto"/>
        <w:rPr>
          <w:rFonts w:ascii="Arial" w:eastAsia="Times New Roman" w:hAnsi="Arial" w:cs="Times New Roman"/>
          <w:b/>
          <w:color w:val="007DC3"/>
          <w:sz w:val="20"/>
          <w:szCs w:val="24"/>
        </w:rPr>
      </w:pPr>
      <w:hyperlink r:id="rId32" w:tooltip="Expand/collapse question" w:history="1">
        <w:r w:rsidR="007141C1" w:rsidRPr="00E53EAF">
          <w:rPr>
            <w:rFonts w:ascii="Arial" w:eastAsia="Times New Roman" w:hAnsi="Arial" w:cs="Times New Roman"/>
            <w:b/>
            <w:color w:val="007DC3"/>
            <w:sz w:val="20"/>
            <w:szCs w:val="24"/>
          </w:rPr>
          <w:t>Special consideration</w:t>
        </w:r>
      </w:hyperlink>
    </w:p>
    <w:p w:rsidR="007141C1" w:rsidRPr="007141C1" w:rsidRDefault="007141C1" w:rsidP="007141C1">
      <w:pPr>
        <w:pStyle w:val="AHPRAbodyContextparanumbered"/>
        <w:ind w:left="0" w:hanging="425"/>
        <w:rPr>
          <w:rFonts w:eastAsia="Times New Roman"/>
          <w:bCs/>
          <w:color w:val="000000"/>
          <w:szCs w:val="20"/>
        </w:rPr>
      </w:pPr>
      <w:r w:rsidRPr="007141C1">
        <w:rPr>
          <w:rFonts w:eastAsia="Times New Roman"/>
          <w:bCs/>
          <w:color w:val="000000"/>
          <w:szCs w:val="20"/>
        </w:rPr>
        <w:t xml:space="preserve">Special consideration is available to candidates who are unable to sit or complete an examination due to exceptional circumstance beyond their control. Candidates may be given an opportunity to re-sit the examination at the next available date without incurring additional examination fees. </w:t>
      </w:r>
    </w:p>
    <w:p w:rsidR="007141C1" w:rsidRPr="007141C1" w:rsidRDefault="007141C1" w:rsidP="007141C1">
      <w:pPr>
        <w:pStyle w:val="AHPRAbodyContextparanumbered"/>
        <w:numPr>
          <w:ilvl w:val="0"/>
          <w:numId w:val="0"/>
        </w:numPr>
        <w:rPr>
          <w:rFonts w:eastAsia="Times New Roman"/>
          <w:bCs/>
          <w:color w:val="000000"/>
          <w:szCs w:val="20"/>
        </w:rPr>
      </w:pPr>
      <w:r w:rsidRPr="007141C1">
        <w:rPr>
          <w:rFonts w:eastAsia="Times New Roman"/>
          <w:bCs/>
          <w:color w:val="000000"/>
          <w:szCs w:val="20"/>
        </w:rPr>
        <w:t xml:space="preserve">For more information, please refer to the </w:t>
      </w:r>
      <w:r w:rsidR="00E130BC" w:rsidRPr="00E130BC">
        <w:rPr>
          <w:rFonts w:eastAsia="Times New Roman"/>
          <w:bCs/>
          <w:i/>
          <w:color w:val="000000"/>
          <w:szCs w:val="20"/>
        </w:rPr>
        <w:t>National examination</w:t>
      </w:r>
      <w:r w:rsidRPr="007141C1">
        <w:rPr>
          <w:rFonts w:eastAsia="Times New Roman"/>
          <w:bCs/>
          <w:color w:val="000000"/>
          <w:szCs w:val="20"/>
        </w:rPr>
        <w:t xml:space="preserve"> section of the Board’s website.</w:t>
      </w:r>
    </w:p>
    <w:p w:rsidR="00766317" w:rsidRPr="00E53EAF" w:rsidRDefault="00766317" w:rsidP="00766317">
      <w:pPr>
        <w:spacing w:after="200" w:line="240" w:lineRule="auto"/>
        <w:rPr>
          <w:rFonts w:ascii="Arial" w:eastAsia="Times New Roman" w:hAnsi="Arial" w:cs="Times New Roman"/>
          <w:b/>
          <w:color w:val="007DC3"/>
          <w:sz w:val="20"/>
          <w:szCs w:val="24"/>
        </w:rPr>
      </w:pPr>
      <w:r w:rsidRPr="00E53EAF">
        <w:rPr>
          <w:rFonts w:ascii="Arial" w:eastAsia="Times New Roman" w:hAnsi="Arial" w:cs="Times New Roman"/>
          <w:b/>
          <w:color w:val="007DC3"/>
          <w:sz w:val="20"/>
          <w:szCs w:val="24"/>
        </w:rPr>
        <w:t xml:space="preserve">Board may refuse to grant or renew </w:t>
      </w:r>
      <w:r>
        <w:rPr>
          <w:rFonts w:ascii="Arial" w:eastAsia="Times New Roman" w:hAnsi="Arial" w:cs="Times New Roman"/>
          <w:b/>
          <w:color w:val="007DC3"/>
          <w:sz w:val="20"/>
          <w:szCs w:val="24"/>
        </w:rPr>
        <w:t>r</w:t>
      </w:r>
      <w:r w:rsidRPr="00E53EAF">
        <w:rPr>
          <w:rFonts w:ascii="Arial" w:eastAsia="Times New Roman" w:hAnsi="Arial" w:cs="Times New Roman"/>
          <w:b/>
          <w:color w:val="007DC3"/>
          <w:sz w:val="20"/>
          <w:szCs w:val="24"/>
        </w:rPr>
        <w:t xml:space="preserve">egistration </w:t>
      </w:r>
    </w:p>
    <w:p w:rsidR="00766317" w:rsidRPr="00E53EAF" w:rsidRDefault="00344737" w:rsidP="005769C0">
      <w:pPr>
        <w:pStyle w:val="AHPRAbodyContextparanumbered"/>
        <w:ind w:left="0" w:hanging="425"/>
        <w:rPr>
          <w:rFonts w:eastAsia="Times New Roman"/>
          <w:szCs w:val="20"/>
        </w:rPr>
      </w:pPr>
      <w:r>
        <w:rPr>
          <w:rFonts w:eastAsia="Times New Roman"/>
          <w:bCs/>
          <w:color w:val="000000"/>
          <w:szCs w:val="20"/>
        </w:rPr>
        <w:t>The examination is set at the minimum capabilities</w:t>
      </w:r>
      <w:r w:rsidR="00E966FC">
        <w:rPr>
          <w:rFonts w:eastAsia="Times New Roman"/>
          <w:bCs/>
          <w:color w:val="000000"/>
          <w:szCs w:val="20"/>
        </w:rPr>
        <w:t xml:space="preserve"> level</w:t>
      </w:r>
      <w:r>
        <w:rPr>
          <w:rFonts w:eastAsia="Times New Roman"/>
          <w:bCs/>
          <w:color w:val="000000"/>
          <w:szCs w:val="20"/>
        </w:rPr>
        <w:t xml:space="preserve"> for safe practi</w:t>
      </w:r>
      <w:r w:rsidR="00E966FC">
        <w:rPr>
          <w:rFonts w:eastAsia="Times New Roman"/>
          <w:bCs/>
          <w:color w:val="000000"/>
          <w:szCs w:val="20"/>
        </w:rPr>
        <w:t>s</w:t>
      </w:r>
      <w:r>
        <w:rPr>
          <w:rFonts w:eastAsia="Times New Roman"/>
          <w:bCs/>
          <w:color w:val="000000"/>
          <w:szCs w:val="20"/>
        </w:rPr>
        <w:t>e in the profession</w:t>
      </w:r>
      <w:r w:rsidR="00E966FC">
        <w:rPr>
          <w:rFonts w:eastAsia="Times New Roman"/>
          <w:bCs/>
          <w:color w:val="000000"/>
          <w:szCs w:val="20"/>
        </w:rPr>
        <w:t>.</w:t>
      </w:r>
      <w:r>
        <w:rPr>
          <w:rFonts w:eastAsia="Times New Roman"/>
          <w:bCs/>
          <w:color w:val="000000"/>
          <w:szCs w:val="20"/>
        </w:rPr>
        <w:t xml:space="preserve"> </w:t>
      </w:r>
      <w:r w:rsidR="00766317" w:rsidRPr="00E53EAF">
        <w:rPr>
          <w:rFonts w:eastAsia="Times New Roman"/>
          <w:bCs/>
          <w:color w:val="000000"/>
          <w:szCs w:val="20"/>
        </w:rPr>
        <w:t xml:space="preserve">The Board may refuse a new application or an application to </w:t>
      </w:r>
      <w:r w:rsidR="00766317" w:rsidRPr="00E53EAF">
        <w:rPr>
          <w:rFonts w:eastAsia="Times New Roman"/>
          <w:szCs w:val="20"/>
        </w:rPr>
        <w:t xml:space="preserve">renew </w:t>
      </w:r>
      <w:r w:rsidR="00766317" w:rsidRPr="00E53EAF">
        <w:rPr>
          <w:rFonts w:eastAsia="Times New Roman"/>
          <w:bCs/>
          <w:color w:val="000000"/>
          <w:szCs w:val="20"/>
        </w:rPr>
        <w:t>registration for postgraduate training or supervised practice for any of the following reasons:</w:t>
      </w:r>
      <w:r w:rsidR="00766317" w:rsidRPr="00E53EAF">
        <w:rPr>
          <w:rFonts w:eastAsia="Times New Roman"/>
          <w:szCs w:val="20"/>
        </w:rPr>
        <w:t xml:space="preserve">  </w:t>
      </w:r>
    </w:p>
    <w:p w:rsidR="00766317" w:rsidRDefault="00766317" w:rsidP="009D19A9">
      <w:pPr>
        <w:numPr>
          <w:ilvl w:val="1"/>
          <w:numId w:val="13"/>
        </w:numPr>
        <w:spacing w:before="120" w:after="12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y</w:t>
      </w:r>
      <w:r w:rsidRPr="00E53EAF">
        <w:rPr>
          <w:rFonts w:ascii="Arial" w:eastAsia="Times New Roman" w:hAnsi="Arial" w:cs="Arial"/>
          <w:bCs/>
          <w:color w:val="000000"/>
          <w:sz w:val="20"/>
          <w:szCs w:val="20"/>
        </w:rPr>
        <w:t xml:space="preserve">ou have </w:t>
      </w:r>
      <w:r w:rsidR="00466861">
        <w:rPr>
          <w:rFonts w:ascii="Arial" w:eastAsia="Times New Roman" w:hAnsi="Arial" w:cs="Arial"/>
          <w:bCs/>
          <w:color w:val="000000"/>
          <w:sz w:val="20"/>
          <w:szCs w:val="20"/>
        </w:rPr>
        <w:t>not</w:t>
      </w:r>
      <w:r w:rsidRPr="00E53EAF">
        <w:rPr>
          <w:rFonts w:ascii="Arial" w:eastAsia="Times New Roman" w:hAnsi="Arial" w:cs="Arial"/>
          <w:bCs/>
          <w:color w:val="000000"/>
          <w:sz w:val="20"/>
          <w:szCs w:val="20"/>
        </w:rPr>
        <w:t xml:space="preserve"> </w:t>
      </w:r>
      <w:r w:rsidR="00466861">
        <w:rPr>
          <w:rFonts w:ascii="Arial" w:eastAsia="Times New Roman" w:hAnsi="Arial" w:cs="Arial"/>
          <w:bCs/>
          <w:color w:val="000000"/>
          <w:sz w:val="20"/>
          <w:szCs w:val="20"/>
        </w:rPr>
        <w:t xml:space="preserve">attempted </w:t>
      </w:r>
      <w:r w:rsidR="00BF34CD">
        <w:rPr>
          <w:rFonts w:ascii="Arial" w:eastAsia="Times New Roman" w:hAnsi="Arial" w:cs="Arial"/>
          <w:bCs/>
          <w:color w:val="000000"/>
          <w:sz w:val="20"/>
          <w:szCs w:val="20"/>
        </w:rPr>
        <w:t>the</w:t>
      </w:r>
      <w:r w:rsidRPr="00E53EAF">
        <w:rPr>
          <w:rFonts w:ascii="Arial" w:eastAsia="Times New Roman" w:hAnsi="Arial" w:cs="Arial"/>
          <w:bCs/>
          <w:color w:val="000000"/>
          <w:sz w:val="20"/>
          <w:szCs w:val="20"/>
        </w:rPr>
        <w:t xml:space="preserve"> examination </w:t>
      </w:r>
      <w:r w:rsidR="00BF34CD">
        <w:rPr>
          <w:rFonts w:ascii="Arial" w:eastAsia="Times New Roman" w:hAnsi="Arial" w:cs="Arial"/>
          <w:bCs/>
          <w:color w:val="000000"/>
          <w:sz w:val="20"/>
          <w:szCs w:val="20"/>
        </w:rPr>
        <w:t xml:space="preserve">at least once </w:t>
      </w:r>
      <w:r w:rsidRPr="00E53EAF">
        <w:rPr>
          <w:rFonts w:ascii="Arial" w:eastAsia="Times New Roman" w:hAnsi="Arial" w:cs="Arial"/>
          <w:bCs/>
          <w:color w:val="000000"/>
          <w:sz w:val="20"/>
          <w:szCs w:val="20"/>
        </w:rPr>
        <w:t>in the same period of registration</w:t>
      </w:r>
    </w:p>
    <w:p w:rsidR="00766317" w:rsidRDefault="00766317" w:rsidP="009D19A9">
      <w:pPr>
        <w:numPr>
          <w:ilvl w:val="1"/>
          <w:numId w:val="13"/>
        </w:numPr>
        <w:spacing w:before="120" w:after="12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y</w:t>
      </w:r>
      <w:r w:rsidRPr="00E53EAF">
        <w:rPr>
          <w:rFonts w:ascii="Arial" w:eastAsia="Times New Roman" w:hAnsi="Arial" w:cs="Arial"/>
          <w:bCs/>
          <w:color w:val="000000"/>
          <w:sz w:val="20"/>
          <w:szCs w:val="20"/>
        </w:rPr>
        <w:t xml:space="preserve">ou have failed an examination or assessment on </w:t>
      </w:r>
      <w:r w:rsidR="009D298F">
        <w:rPr>
          <w:rFonts w:ascii="Arial" w:eastAsia="Times New Roman" w:hAnsi="Arial" w:cs="Arial"/>
          <w:bCs/>
          <w:color w:val="000000"/>
          <w:sz w:val="20"/>
          <w:szCs w:val="20"/>
        </w:rPr>
        <w:t>at least three occa</w:t>
      </w:r>
      <w:r w:rsidR="00DB091F">
        <w:rPr>
          <w:rFonts w:ascii="Arial" w:eastAsia="Times New Roman" w:hAnsi="Arial" w:cs="Arial"/>
          <w:bCs/>
          <w:color w:val="000000"/>
          <w:sz w:val="20"/>
          <w:szCs w:val="20"/>
        </w:rPr>
        <w:t>sions</w:t>
      </w:r>
    </w:p>
    <w:p w:rsidR="00766317" w:rsidRDefault="00766317" w:rsidP="009D19A9">
      <w:pPr>
        <w:numPr>
          <w:ilvl w:val="1"/>
          <w:numId w:val="13"/>
        </w:numPr>
        <w:spacing w:before="120" w:after="12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y</w:t>
      </w:r>
      <w:r w:rsidRPr="00E53EAF">
        <w:rPr>
          <w:rFonts w:ascii="Arial" w:eastAsia="Times New Roman" w:hAnsi="Arial" w:cs="Arial"/>
          <w:bCs/>
          <w:color w:val="000000"/>
          <w:sz w:val="20"/>
          <w:szCs w:val="20"/>
        </w:rPr>
        <w:t xml:space="preserve">ou have </w:t>
      </w:r>
      <w:r w:rsidR="00DB091F">
        <w:rPr>
          <w:rFonts w:ascii="Arial" w:eastAsia="Times New Roman" w:hAnsi="Arial" w:cs="Arial"/>
          <w:bCs/>
          <w:color w:val="000000"/>
          <w:sz w:val="20"/>
          <w:szCs w:val="20"/>
        </w:rPr>
        <w:t xml:space="preserve">engaged in misconduct in </w:t>
      </w:r>
      <w:r w:rsidR="00466861">
        <w:rPr>
          <w:rFonts w:ascii="Arial" w:eastAsia="Times New Roman" w:hAnsi="Arial" w:cs="Arial"/>
          <w:bCs/>
          <w:color w:val="000000"/>
          <w:sz w:val="20"/>
          <w:szCs w:val="20"/>
        </w:rPr>
        <w:t>connection with</w:t>
      </w:r>
      <w:r w:rsidR="00DB091F">
        <w:rPr>
          <w:rFonts w:ascii="Arial" w:eastAsia="Times New Roman" w:hAnsi="Arial" w:cs="Arial"/>
          <w:bCs/>
          <w:color w:val="000000"/>
          <w:sz w:val="20"/>
          <w:szCs w:val="20"/>
        </w:rPr>
        <w:t xml:space="preserve"> an examination</w:t>
      </w:r>
      <w:r w:rsidR="00E966FC">
        <w:rPr>
          <w:rFonts w:ascii="Arial" w:eastAsia="Times New Roman" w:hAnsi="Arial" w:cs="Arial"/>
          <w:bCs/>
          <w:color w:val="000000"/>
          <w:sz w:val="20"/>
          <w:szCs w:val="20"/>
        </w:rPr>
        <w:t>, or</w:t>
      </w:r>
      <w:r w:rsidR="00DB091F">
        <w:rPr>
          <w:rFonts w:ascii="Arial" w:eastAsia="Times New Roman" w:hAnsi="Arial" w:cs="Arial"/>
          <w:bCs/>
          <w:color w:val="000000"/>
          <w:sz w:val="20"/>
          <w:szCs w:val="20"/>
        </w:rPr>
        <w:t xml:space="preserve"> </w:t>
      </w:r>
    </w:p>
    <w:p w:rsidR="00014178" w:rsidRPr="00E53EAF" w:rsidRDefault="00766317" w:rsidP="00014178">
      <w:pPr>
        <w:numPr>
          <w:ilvl w:val="1"/>
          <w:numId w:val="13"/>
        </w:numPr>
        <w:spacing w:before="120" w:after="120" w:line="276" w:lineRule="auto"/>
        <w:contextualSpacing/>
        <w:jc w:val="both"/>
        <w:rPr>
          <w:rFonts w:ascii="Arial" w:hAnsi="Arial" w:cs="Arial"/>
          <w:sz w:val="20"/>
          <w:szCs w:val="20"/>
        </w:rPr>
      </w:pPr>
      <w:r w:rsidRPr="00466861">
        <w:rPr>
          <w:rFonts w:ascii="Arial" w:eastAsia="Times New Roman" w:hAnsi="Arial" w:cs="Arial"/>
          <w:bCs/>
          <w:color w:val="000000"/>
          <w:sz w:val="20"/>
          <w:szCs w:val="20"/>
        </w:rPr>
        <w:t>you have not met all other requirements of the National Law</w:t>
      </w:r>
      <w:r w:rsidR="00E966FC">
        <w:rPr>
          <w:rFonts w:ascii="Arial" w:eastAsia="Times New Roman" w:hAnsi="Arial" w:cs="Arial"/>
          <w:bCs/>
          <w:color w:val="000000"/>
          <w:sz w:val="20"/>
          <w:szCs w:val="20"/>
        </w:rPr>
        <w:t>.</w:t>
      </w:r>
      <w:r w:rsidR="00466861" w:rsidRPr="00466861">
        <w:rPr>
          <w:rFonts w:ascii="Arial" w:hAnsi="Arial" w:cs="Arial"/>
          <w:sz w:val="20"/>
          <w:szCs w:val="20"/>
        </w:rPr>
        <w:t xml:space="preserve"> </w:t>
      </w:r>
    </w:p>
    <w:p w:rsidR="00014178" w:rsidRPr="004F324C" w:rsidRDefault="00014178" w:rsidP="009753CC">
      <w:pPr>
        <w:spacing w:before="360" w:after="200" w:line="240" w:lineRule="auto"/>
        <w:rPr>
          <w:rFonts w:ascii="Arial" w:eastAsia="Times New Roman" w:hAnsi="Arial" w:cs="Times New Roman"/>
          <w:b/>
          <w:color w:val="007DC3"/>
          <w:sz w:val="20"/>
          <w:szCs w:val="24"/>
        </w:rPr>
      </w:pPr>
      <w:r w:rsidRPr="004F324C">
        <w:rPr>
          <w:rFonts w:ascii="Arial" w:eastAsia="Times New Roman" w:hAnsi="Arial" w:cs="Times New Roman"/>
          <w:b/>
          <w:color w:val="007DC3"/>
          <w:sz w:val="20"/>
          <w:szCs w:val="24"/>
        </w:rPr>
        <w:lastRenderedPageBreak/>
        <w:t xml:space="preserve">Appendix A: </w:t>
      </w:r>
      <w:r w:rsidR="004F324C" w:rsidRPr="004F324C">
        <w:rPr>
          <w:rFonts w:ascii="Arial" w:eastAsia="Times New Roman" w:hAnsi="Arial" w:cs="Times New Roman"/>
          <w:b/>
          <w:color w:val="007DC3"/>
          <w:sz w:val="20"/>
          <w:szCs w:val="24"/>
        </w:rPr>
        <w:t>Suggested r</w:t>
      </w:r>
      <w:r w:rsidRPr="004F324C">
        <w:rPr>
          <w:rFonts w:ascii="Arial" w:eastAsia="Times New Roman" w:hAnsi="Arial" w:cs="Times New Roman"/>
          <w:b/>
          <w:color w:val="007DC3"/>
          <w:sz w:val="20"/>
          <w:szCs w:val="24"/>
        </w:rPr>
        <w:t>eading and resources list</w:t>
      </w:r>
    </w:p>
    <w:p w:rsidR="00014178" w:rsidRPr="00E53EAF" w:rsidRDefault="0045263C" w:rsidP="005769C0">
      <w:pPr>
        <w:pStyle w:val="AHPRAbodyContextparanumbered"/>
        <w:ind w:left="0" w:hanging="425"/>
        <w:rPr>
          <w:szCs w:val="20"/>
        </w:rPr>
      </w:pPr>
      <w:r w:rsidRPr="00E53EAF">
        <w:rPr>
          <w:szCs w:val="20"/>
        </w:rPr>
        <w:t>You are</w:t>
      </w:r>
      <w:r w:rsidR="00014178" w:rsidRPr="00E53EAF">
        <w:rPr>
          <w:szCs w:val="20"/>
        </w:rPr>
        <w:t xml:space="preserve"> required to manage </w:t>
      </w:r>
      <w:r w:rsidRPr="00E53EAF">
        <w:rPr>
          <w:szCs w:val="20"/>
        </w:rPr>
        <w:t>your</w:t>
      </w:r>
      <w:r w:rsidR="00014178" w:rsidRPr="00E53EAF">
        <w:rPr>
          <w:szCs w:val="20"/>
        </w:rPr>
        <w:t xml:space="preserve"> own preparation for the examination. </w:t>
      </w:r>
      <w:r w:rsidR="004F324C">
        <w:rPr>
          <w:szCs w:val="20"/>
        </w:rPr>
        <w:t xml:space="preserve">Part of that preparation will often include reading and revising academic textbooks and other professional resources. </w:t>
      </w:r>
      <w:r w:rsidR="00014178" w:rsidRPr="00E53EAF">
        <w:rPr>
          <w:szCs w:val="20"/>
        </w:rPr>
        <w:t xml:space="preserve">The reading and </w:t>
      </w:r>
      <w:r w:rsidR="004F324C">
        <w:rPr>
          <w:szCs w:val="20"/>
        </w:rPr>
        <w:t>resources</w:t>
      </w:r>
      <w:r w:rsidR="00014178" w:rsidRPr="00E53EAF">
        <w:rPr>
          <w:szCs w:val="20"/>
        </w:rPr>
        <w:t xml:space="preserve"> list provided below are suggested items, and are intended as a guide only. </w:t>
      </w:r>
    </w:p>
    <w:p w:rsidR="00014178" w:rsidRPr="00E53EAF" w:rsidRDefault="004F324C" w:rsidP="004F324C">
      <w:pPr>
        <w:pStyle w:val="AHPRAbodyContextparanumbered"/>
        <w:numPr>
          <w:ilvl w:val="0"/>
          <w:numId w:val="0"/>
        </w:numPr>
        <w:pBdr>
          <w:bottom w:val="single" w:sz="4" w:space="1" w:color="auto"/>
        </w:pBdr>
        <w:rPr>
          <w:szCs w:val="20"/>
        </w:rPr>
      </w:pPr>
      <w:r>
        <w:rPr>
          <w:szCs w:val="20"/>
        </w:rPr>
        <w:t xml:space="preserve">The list of suggested items provides a good cross section of academic and professional material, </w:t>
      </w:r>
      <w:r w:rsidR="00014178" w:rsidRPr="00E53EAF">
        <w:rPr>
          <w:szCs w:val="20"/>
        </w:rPr>
        <w:t xml:space="preserve">but </w:t>
      </w:r>
      <w:r>
        <w:rPr>
          <w:szCs w:val="20"/>
        </w:rPr>
        <w:t xml:space="preserve">it is </w:t>
      </w:r>
      <w:r w:rsidR="00014178" w:rsidRPr="00E53EAF">
        <w:rPr>
          <w:szCs w:val="20"/>
        </w:rPr>
        <w:t xml:space="preserve">not </w:t>
      </w:r>
      <w:r>
        <w:rPr>
          <w:szCs w:val="20"/>
        </w:rPr>
        <w:t xml:space="preserve">an </w:t>
      </w:r>
      <w:r w:rsidR="00014178" w:rsidRPr="00E53EAF">
        <w:rPr>
          <w:szCs w:val="20"/>
        </w:rPr>
        <w:t>exhaustive</w:t>
      </w:r>
      <w:r>
        <w:rPr>
          <w:szCs w:val="20"/>
        </w:rPr>
        <w:t xml:space="preserve"> list</w:t>
      </w:r>
      <w:r w:rsidR="00014178" w:rsidRPr="00E53EAF">
        <w:rPr>
          <w:szCs w:val="20"/>
        </w:rPr>
        <w:t xml:space="preserve">. When searching for other reference and resource material, </w:t>
      </w:r>
      <w:r w:rsidR="0045263C" w:rsidRPr="00E53EAF">
        <w:rPr>
          <w:szCs w:val="20"/>
        </w:rPr>
        <w:t>you</w:t>
      </w:r>
      <w:r w:rsidR="00014178" w:rsidRPr="00E53EAF">
        <w:rPr>
          <w:szCs w:val="20"/>
        </w:rPr>
        <w:t xml:space="preserve"> should</w:t>
      </w:r>
      <w:r>
        <w:rPr>
          <w:szCs w:val="20"/>
        </w:rPr>
        <w:t xml:space="preserve"> take care to ensure that the material is relevant to current professional practice. You should also</w:t>
      </w:r>
      <w:r w:rsidR="00014178" w:rsidRPr="00E53EAF">
        <w:rPr>
          <w:szCs w:val="20"/>
        </w:rPr>
        <w:t xml:space="preserve"> be aware that there are specific legal and practice regimes in Australia. </w:t>
      </w:r>
      <w:r>
        <w:rPr>
          <w:szCs w:val="20"/>
        </w:rPr>
        <w:t>Please</w:t>
      </w:r>
      <w:r w:rsidR="0045263C" w:rsidRPr="00E53EAF">
        <w:rPr>
          <w:szCs w:val="20"/>
        </w:rPr>
        <w:t xml:space="preserve"> </w:t>
      </w:r>
      <w:r>
        <w:rPr>
          <w:szCs w:val="20"/>
        </w:rPr>
        <w:t>take care</w:t>
      </w:r>
      <w:r w:rsidR="00014178" w:rsidRPr="00E53EAF">
        <w:rPr>
          <w:szCs w:val="20"/>
        </w:rPr>
        <w:t xml:space="preserve"> when using resources that reference overseas laws, regulatory requirements or specific practice requirements as they may differ</w:t>
      </w:r>
      <w:r>
        <w:rPr>
          <w:szCs w:val="20"/>
        </w:rPr>
        <w:t xml:space="preserve"> from practice in Australia</w:t>
      </w:r>
      <w:r w:rsidR="00014178" w:rsidRPr="00E53EAF">
        <w:rPr>
          <w:szCs w:val="20"/>
        </w:rPr>
        <w:t>.</w:t>
      </w:r>
    </w:p>
    <w:p w:rsidR="00014178" w:rsidRPr="00E53EAF" w:rsidRDefault="00014178" w:rsidP="00014178">
      <w:pPr>
        <w:spacing w:after="120" w:line="276" w:lineRule="auto"/>
        <w:rPr>
          <w:rFonts w:ascii="Arial" w:hAnsi="Arial" w:cs="Arial"/>
          <w:sz w:val="20"/>
          <w:szCs w:val="20"/>
        </w:rPr>
      </w:pPr>
    </w:p>
    <w:bookmarkEnd w:id="29"/>
    <w:p w:rsidR="00F67DFB" w:rsidRPr="004F324C" w:rsidRDefault="004F324C" w:rsidP="00211395">
      <w:pPr>
        <w:pStyle w:val="AHPRAHeadline"/>
        <w:rPr>
          <w:b/>
          <w:color w:val="000000" w:themeColor="text1"/>
          <w:sz w:val="20"/>
          <w:szCs w:val="20"/>
        </w:rPr>
      </w:pPr>
      <w:r w:rsidRPr="004F324C">
        <w:rPr>
          <w:b/>
          <w:color w:val="000000" w:themeColor="text1"/>
          <w:sz w:val="20"/>
          <w:szCs w:val="20"/>
        </w:rPr>
        <w:t>The list of resources will be provided with any published version of these guidelines.</w:t>
      </w:r>
    </w:p>
    <w:p w:rsidR="004F324C" w:rsidRPr="004F324C" w:rsidRDefault="004F324C" w:rsidP="00211395">
      <w:pPr>
        <w:pStyle w:val="AHPRAHeadline"/>
        <w:rPr>
          <w:rFonts w:cs="Arial"/>
          <w:color w:val="auto"/>
          <w:sz w:val="20"/>
          <w:szCs w:val="20"/>
        </w:rPr>
        <w:sectPr w:rsidR="004F324C" w:rsidRPr="004F324C" w:rsidSect="00AE3FD1">
          <w:headerReference w:type="default" r:id="rId33"/>
          <w:pgSz w:w="11900" w:h="16840"/>
          <w:pgMar w:top="1150" w:right="1247" w:bottom="992" w:left="1247" w:header="567" w:footer="685" w:gutter="0"/>
          <w:cols w:space="708"/>
          <w:titlePg/>
          <w:docGrid w:linePitch="326"/>
        </w:sectPr>
      </w:pPr>
      <w:r>
        <w:rPr>
          <w:rFonts w:cs="Arial"/>
          <w:color w:val="auto"/>
          <w:sz w:val="20"/>
          <w:szCs w:val="20"/>
        </w:rPr>
        <w:t xml:space="preserve">&lt;&lt;&lt; </w:t>
      </w:r>
      <w:r w:rsidRPr="004F324C">
        <w:rPr>
          <w:rFonts w:cs="Arial"/>
          <w:color w:val="auto"/>
          <w:sz w:val="20"/>
          <w:szCs w:val="20"/>
        </w:rPr>
        <w:t xml:space="preserve">The </w:t>
      </w:r>
      <w:r w:rsidR="00B60C69">
        <w:rPr>
          <w:rFonts w:cs="Arial"/>
          <w:color w:val="auto"/>
          <w:sz w:val="20"/>
          <w:szCs w:val="20"/>
        </w:rPr>
        <w:t>list of</w:t>
      </w:r>
      <w:r w:rsidRPr="004F324C">
        <w:rPr>
          <w:rFonts w:cs="Arial"/>
          <w:color w:val="auto"/>
          <w:sz w:val="20"/>
          <w:szCs w:val="20"/>
        </w:rPr>
        <w:t xml:space="preserve"> suggested academic and professional textbooks and resources will be updated from time to time</w:t>
      </w:r>
      <w:r>
        <w:rPr>
          <w:rFonts w:cs="Arial"/>
          <w:color w:val="auto"/>
          <w:sz w:val="20"/>
          <w:szCs w:val="20"/>
        </w:rPr>
        <w:t xml:space="preserve"> &gt;&gt;&gt;</w:t>
      </w:r>
    </w:p>
    <w:p w:rsidR="00156FC5" w:rsidRPr="005B754A" w:rsidRDefault="0022351C" w:rsidP="005B754A">
      <w:pPr>
        <w:pStyle w:val="Heading1"/>
        <w:keepNext w:val="0"/>
        <w:keepLines w:val="0"/>
        <w:spacing w:before="0" w:after="200" w:line="240" w:lineRule="auto"/>
        <w:rPr>
          <w:rFonts w:ascii="Arial" w:eastAsia="Cambria" w:hAnsi="Arial" w:cs="Times New Roman"/>
          <w:noProof/>
          <w:color w:val="00BCE4"/>
          <w:sz w:val="36"/>
          <w:szCs w:val="36"/>
          <w:lang w:eastAsia="en-AU"/>
        </w:rPr>
      </w:pPr>
      <w:r>
        <w:rPr>
          <w:rFonts w:ascii="Arial" w:eastAsia="Cambria" w:hAnsi="Arial" w:cs="Times New Roman"/>
          <w:noProof/>
          <w:color w:val="00BCE4"/>
          <w:sz w:val="36"/>
          <w:szCs w:val="36"/>
          <w:lang w:eastAsia="en-AU"/>
        </w:rPr>
        <w:lastRenderedPageBreak/>
        <w:pict>
          <v:shape id="Straight Arrow Connector 22" o:spid="_x0000_s1027" type="#_x0000_t32" style="position:absolute;margin-left:-67.1pt;margin-top:23.05pt;width:273.35pt;height:0;z-index:251720704;visibility:visible;mso-wrap-style:square;mso-height-percent:0;mso-wrap-distance-left:9pt;mso-wrap-distance-top:-1e-4mm;mso-wrap-distance-right:9pt;mso-wrap-distance-bottom:-1e-4mm;mso-position-horizontal:absolute;mso-position-horizontal-relative:text;mso-position-vertical:absolute;mso-position-vertical-relative:text;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" adj="822,-1,822"/>
        </w:pict>
      </w:r>
      <w:bookmarkStart w:id="33" w:name="_Toc354073140"/>
      <w:bookmarkStart w:id="34" w:name="_Toc426364377"/>
      <w:r w:rsidR="00156FC5" w:rsidRPr="005B754A">
        <w:rPr>
          <w:rFonts w:ascii="Arial" w:eastAsia="Cambria" w:hAnsi="Arial" w:cs="Times New Roman"/>
          <w:noProof/>
          <w:color w:val="00BCE4"/>
          <w:sz w:val="36"/>
          <w:szCs w:val="36"/>
          <w:lang w:eastAsia="en-AU"/>
        </w:rPr>
        <w:t>Statement of assessment</w:t>
      </w:r>
      <w:bookmarkEnd w:id="33"/>
      <w:bookmarkEnd w:id="34"/>
      <w:r w:rsidR="00156FC5" w:rsidRPr="005B754A">
        <w:rPr>
          <w:rFonts w:ascii="Arial" w:eastAsia="Cambria" w:hAnsi="Arial" w:cs="Times New Roman"/>
          <w:noProof/>
          <w:color w:val="00BCE4"/>
          <w:sz w:val="36"/>
          <w:szCs w:val="36"/>
          <w:lang w:eastAsia="en-AU"/>
        </w:rPr>
        <w:t xml:space="preserve"> </w:t>
      </w:r>
    </w:p>
    <w:p w:rsidR="00156FC5" w:rsidRPr="00E53EAF" w:rsidRDefault="00156FC5" w:rsidP="00156FC5">
      <w:pPr>
        <w:spacing w:before="360" w:after="200" w:line="240" w:lineRule="auto"/>
        <w:outlineLvl w:val="0"/>
        <w:rPr>
          <w:rFonts w:ascii="Arial" w:eastAsia="Cambria" w:hAnsi="Arial" w:cs="Arial"/>
          <w:i/>
          <w:color w:val="595959" w:themeColor="text1" w:themeTint="A6"/>
          <w:sz w:val="28"/>
          <w:szCs w:val="52"/>
        </w:rPr>
      </w:pPr>
      <w:bookmarkStart w:id="35" w:name="_Toc354073141"/>
      <w:bookmarkStart w:id="36" w:name="_Toc403318434"/>
      <w:r w:rsidRPr="00E53EAF">
        <w:rPr>
          <w:rFonts w:ascii="Arial" w:eastAsia="Cambria" w:hAnsi="Arial" w:cs="Arial"/>
          <w:color w:val="595959" w:themeColor="text1" w:themeTint="A6"/>
          <w:sz w:val="28"/>
          <w:szCs w:val="52"/>
        </w:rPr>
        <w:t xml:space="preserve">Board’s statement of assessment against AHPRA’s </w:t>
      </w:r>
      <w:r w:rsidR="00E130BC" w:rsidRPr="00E130BC">
        <w:rPr>
          <w:rFonts w:ascii="Arial" w:eastAsia="Cambria" w:hAnsi="Arial" w:cs="Arial"/>
          <w:color w:val="595959" w:themeColor="text1" w:themeTint="A6"/>
          <w:sz w:val="28"/>
          <w:szCs w:val="52"/>
        </w:rPr>
        <w:t xml:space="preserve">Procedures for </w:t>
      </w:r>
      <w:r w:rsidR="00155813">
        <w:rPr>
          <w:rFonts w:ascii="Arial" w:eastAsia="Cambria" w:hAnsi="Arial" w:cs="Arial"/>
          <w:color w:val="595959" w:themeColor="text1" w:themeTint="A6"/>
          <w:sz w:val="28"/>
          <w:szCs w:val="52"/>
        </w:rPr>
        <w:t xml:space="preserve">the </w:t>
      </w:r>
      <w:r w:rsidR="00E130BC" w:rsidRPr="00E130BC">
        <w:rPr>
          <w:rFonts w:ascii="Arial" w:eastAsia="Cambria" w:hAnsi="Arial" w:cs="Arial"/>
          <w:color w:val="595959" w:themeColor="text1" w:themeTint="A6"/>
          <w:sz w:val="28"/>
          <w:szCs w:val="52"/>
        </w:rPr>
        <w:t>development of registration standards</w:t>
      </w:r>
      <w:r w:rsidR="00360124" w:rsidRPr="00E966FC">
        <w:rPr>
          <w:rFonts w:ascii="Arial" w:eastAsia="Cambria" w:hAnsi="Arial" w:cs="Arial"/>
          <w:color w:val="595959" w:themeColor="text1" w:themeTint="A6"/>
          <w:sz w:val="28"/>
          <w:szCs w:val="52"/>
        </w:rPr>
        <w:t xml:space="preserve">, </w:t>
      </w:r>
      <w:r w:rsidR="00E130BC" w:rsidRPr="00E130BC">
        <w:rPr>
          <w:rFonts w:ascii="Arial" w:eastAsia="Cambria" w:hAnsi="Arial" w:cs="Arial"/>
          <w:color w:val="595959" w:themeColor="text1" w:themeTint="A6"/>
          <w:sz w:val="28"/>
          <w:szCs w:val="52"/>
        </w:rPr>
        <w:t>codes and guideline</w:t>
      </w:r>
      <w:r w:rsidR="00A142D6" w:rsidRPr="00A142D6">
        <w:rPr>
          <w:rFonts w:ascii="Arial" w:eastAsia="Cambria" w:hAnsi="Arial" w:cs="Arial"/>
          <w:i/>
          <w:color w:val="595959" w:themeColor="text1" w:themeTint="A6"/>
          <w:sz w:val="28"/>
          <w:szCs w:val="52"/>
        </w:rPr>
        <w:t>s</w:t>
      </w:r>
      <w:r w:rsidR="00360124" w:rsidRPr="00E53EAF">
        <w:rPr>
          <w:rFonts w:ascii="Arial" w:eastAsia="Cambria" w:hAnsi="Arial" w:cs="Arial"/>
          <w:color w:val="595959" w:themeColor="text1" w:themeTint="A6"/>
          <w:sz w:val="28"/>
          <w:szCs w:val="52"/>
        </w:rPr>
        <w:t xml:space="preserve"> </w:t>
      </w:r>
      <w:r w:rsidRPr="00E53EAF">
        <w:rPr>
          <w:rFonts w:ascii="Arial" w:eastAsia="Cambria" w:hAnsi="Arial" w:cs="Arial"/>
          <w:color w:val="595959" w:themeColor="text1" w:themeTint="A6"/>
          <w:sz w:val="28"/>
          <w:szCs w:val="52"/>
        </w:rPr>
        <w:t xml:space="preserve">and </w:t>
      </w:r>
      <w:r w:rsidR="00A142D6" w:rsidRPr="00A142D6">
        <w:rPr>
          <w:rFonts w:ascii="Arial" w:eastAsia="Cambria" w:hAnsi="Arial" w:cs="Arial"/>
          <w:color w:val="595959" w:themeColor="text1" w:themeTint="A6"/>
          <w:sz w:val="28"/>
          <w:szCs w:val="52"/>
        </w:rPr>
        <w:t>COAG</w:t>
      </w:r>
      <w:r w:rsidRPr="00E53EAF">
        <w:rPr>
          <w:rFonts w:ascii="Arial" w:eastAsia="Cambria" w:hAnsi="Arial" w:cs="Arial"/>
          <w:i/>
          <w:color w:val="595959" w:themeColor="text1" w:themeTint="A6"/>
          <w:sz w:val="28"/>
          <w:szCs w:val="52"/>
        </w:rPr>
        <w:t xml:space="preserve"> </w:t>
      </w:r>
      <w:r w:rsidR="00E130BC" w:rsidRPr="00E130BC">
        <w:rPr>
          <w:rFonts w:ascii="Arial" w:eastAsia="Cambria" w:hAnsi="Arial" w:cs="Arial"/>
          <w:color w:val="595959" w:themeColor="text1" w:themeTint="A6"/>
          <w:sz w:val="28"/>
          <w:szCs w:val="52"/>
        </w:rPr>
        <w:t>Principles for best practice regulation</w:t>
      </w:r>
      <w:bookmarkEnd w:id="35"/>
      <w:bookmarkEnd w:id="36"/>
    </w:p>
    <w:p w:rsidR="00156FC5" w:rsidRPr="00161C94" w:rsidRDefault="00E43893" w:rsidP="00360124">
      <w:pPr>
        <w:spacing w:before="240" w:after="240" w:line="240" w:lineRule="auto"/>
        <w:rPr>
          <w:rFonts w:ascii="Arial" w:hAnsi="Arial" w:cs="Arial"/>
          <w:bCs/>
          <w:color w:val="007DC3"/>
          <w:sz w:val="28"/>
          <w:szCs w:val="28"/>
          <w:lang w:eastAsia="en-AU"/>
        </w:rPr>
      </w:pPr>
      <w:r>
        <w:rPr>
          <w:rFonts w:ascii="Arial" w:hAnsi="Arial" w:cs="Arial"/>
          <w:bCs/>
          <w:color w:val="007DC3"/>
          <w:sz w:val="28"/>
          <w:szCs w:val="28"/>
          <w:lang w:eastAsia="en-AU"/>
        </w:rPr>
        <w:t>National examination guideline</w:t>
      </w:r>
      <w:r w:rsidR="00E966FC">
        <w:rPr>
          <w:rFonts w:ascii="Arial" w:hAnsi="Arial" w:cs="Arial"/>
          <w:bCs/>
          <w:color w:val="007DC3"/>
          <w:sz w:val="28"/>
          <w:szCs w:val="28"/>
          <w:lang w:eastAsia="en-AU"/>
        </w:rPr>
        <w:t>s</w:t>
      </w:r>
    </w:p>
    <w:p w:rsidR="00156FC5" w:rsidRPr="00E53EAF" w:rsidRDefault="00156FC5" w:rsidP="00156FC5">
      <w:pPr>
        <w:spacing w:before="360" w:after="200" w:line="240" w:lineRule="auto"/>
        <w:outlineLvl w:val="0"/>
        <w:rPr>
          <w:rFonts w:ascii="Arial" w:eastAsia="Cambria" w:hAnsi="Arial" w:cs="Arial"/>
          <w:color w:val="31849B"/>
          <w:sz w:val="28"/>
          <w:szCs w:val="24"/>
        </w:rPr>
      </w:pPr>
      <w:bookmarkStart w:id="37" w:name="_Toc354073142"/>
      <w:bookmarkStart w:id="38" w:name="_Toc403318435"/>
      <w:r w:rsidRPr="00E53EAF">
        <w:rPr>
          <w:rFonts w:ascii="Arial" w:eastAsia="Cambria" w:hAnsi="Arial" w:cs="Arial"/>
          <w:color w:val="000000"/>
          <w:sz w:val="20"/>
          <w:szCs w:val="20"/>
        </w:rPr>
        <w:t xml:space="preserve">The Australian Health Practitioner Regulation Agency (AHPRA) has </w:t>
      </w:r>
      <w:r w:rsidRPr="00E53EAF">
        <w:rPr>
          <w:rFonts w:ascii="Arial" w:eastAsia="Cambria" w:hAnsi="Arial" w:cs="Arial"/>
          <w:i/>
          <w:color w:val="000000"/>
          <w:sz w:val="20"/>
          <w:szCs w:val="20"/>
        </w:rPr>
        <w:t xml:space="preserve">Procedures for the </w:t>
      </w:r>
      <w:r w:rsidR="00731C81">
        <w:rPr>
          <w:rFonts w:ascii="Arial" w:eastAsia="Cambria" w:hAnsi="Arial" w:cs="Arial"/>
          <w:i/>
          <w:color w:val="000000"/>
          <w:sz w:val="20"/>
          <w:szCs w:val="20"/>
        </w:rPr>
        <w:t>d</w:t>
      </w:r>
      <w:r w:rsidRPr="00E53EAF">
        <w:rPr>
          <w:rFonts w:ascii="Arial" w:eastAsia="Cambria" w:hAnsi="Arial" w:cs="Arial"/>
          <w:i/>
          <w:color w:val="000000"/>
          <w:sz w:val="20"/>
          <w:szCs w:val="20"/>
        </w:rPr>
        <w:t xml:space="preserve">evelopment of </w:t>
      </w:r>
      <w:r w:rsidR="00731C81">
        <w:rPr>
          <w:rFonts w:ascii="Arial" w:eastAsia="Cambria" w:hAnsi="Arial" w:cs="Arial"/>
          <w:i/>
          <w:color w:val="000000"/>
          <w:sz w:val="20"/>
          <w:szCs w:val="20"/>
        </w:rPr>
        <w:t>r</w:t>
      </w:r>
      <w:r w:rsidRPr="00E53EAF">
        <w:rPr>
          <w:rFonts w:ascii="Arial" w:eastAsia="Cambria" w:hAnsi="Arial" w:cs="Arial"/>
          <w:i/>
          <w:color w:val="000000"/>
          <w:sz w:val="20"/>
          <w:szCs w:val="20"/>
        </w:rPr>
        <w:t xml:space="preserve">egistration </w:t>
      </w:r>
      <w:r w:rsidR="00731C81">
        <w:rPr>
          <w:rFonts w:ascii="Arial" w:eastAsia="Cambria" w:hAnsi="Arial" w:cs="Arial"/>
          <w:i/>
          <w:color w:val="000000"/>
          <w:sz w:val="20"/>
          <w:szCs w:val="20"/>
        </w:rPr>
        <w:t>s</w:t>
      </w:r>
      <w:r w:rsidRPr="00E53EAF">
        <w:rPr>
          <w:rFonts w:ascii="Arial" w:eastAsia="Cambria" w:hAnsi="Arial" w:cs="Arial"/>
          <w:i/>
          <w:color w:val="000000"/>
          <w:sz w:val="20"/>
          <w:szCs w:val="20"/>
        </w:rPr>
        <w:t>tandards</w:t>
      </w:r>
      <w:r w:rsidRPr="00E53EAF">
        <w:rPr>
          <w:rFonts w:ascii="Arial" w:eastAsia="Cambria" w:hAnsi="Arial" w:cs="Arial"/>
          <w:color w:val="000000"/>
          <w:sz w:val="20"/>
          <w:szCs w:val="20"/>
        </w:rPr>
        <w:t xml:space="preserve"> which are available at </w:t>
      </w:r>
      <w:hyperlink r:id="rId34" w:history="1">
        <w:r w:rsidRPr="00E53EAF">
          <w:rPr>
            <w:rFonts w:ascii="Arial" w:eastAsia="Cambria" w:hAnsi="Arial" w:cs="Arial"/>
            <w:color w:val="0000FF"/>
            <w:sz w:val="20"/>
            <w:szCs w:val="20"/>
            <w:u w:val="single"/>
          </w:rPr>
          <w:t>www.ahpra.gov.au</w:t>
        </w:r>
        <w:bookmarkEnd w:id="37"/>
        <w:bookmarkEnd w:id="38"/>
      </w:hyperlink>
      <w:r w:rsidR="00731C81">
        <w:t>.</w:t>
      </w:r>
    </w:p>
    <w:p w:rsidR="00156FC5" w:rsidRPr="00E53EAF" w:rsidRDefault="00156FC5" w:rsidP="00156FC5">
      <w:pPr>
        <w:spacing w:after="200" w:line="240" w:lineRule="auto"/>
        <w:outlineLvl w:val="0"/>
        <w:rPr>
          <w:rFonts w:ascii="Arial" w:eastAsia="Cambria" w:hAnsi="Arial" w:cs="Arial"/>
          <w:color w:val="000000"/>
          <w:sz w:val="20"/>
          <w:szCs w:val="20"/>
        </w:rPr>
      </w:pPr>
      <w:bookmarkStart w:id="39" w:name="_Toc354073143"/>
      <w:bookmarkStart w:id="40" w:name="_Toc403318436"/>
      <w:r w:rsidRPr="00E53EAF">
        <w:rPr>
          <w:rFonts w:ascii="Arial" w:eastAsia="Cambria" w:hAnsi="Arial" w:cs="Arial"/>
          <w:color w:val="000000"/>
          <w:sz w:val="20"/>
          <w:szCs w:val="20"/>
        </w:rPr>
        <w:t xml:space="preserve">These procedures have been developed by </w:t>
      </w:r>
      <w:r w:rsidR="00181F1F">
        <w:rPr>
          <w:rFonts w:ascii="Arial" w:eastAsia="Cambria" w:hAnsi="Arial" w:cs="Arial"/>
          <w:color w:val="000000"/>
          <w:sz w:val="20"/>
          <w:szCs w:val="20"/>
        </w:rPr>
        <w:t>the Australian Health Practitioner Regulation Agency (</w:t>
      </w:r>
      <w:r w:rsidRPr="00E53EAF">
        <w:rPr>
          <w:rFonts w:ascii="Arial" w:eastAsia="Cambria" w:hAnsi="Arial" w:cs="Arial"/>
          <w:color w:val="000000"/>
          <w:sz w:val="20"/>
          <w:szCs w:val="20"/>
        </w:rPr>
        <w:t>AHPRA</w:t>
      </w:r>
      <w:r w:rsidR="00181F1F">
        <w:rPr>
          <w:rFonts w:ascii="Arial" w:eastAsia="Cambria" w:hAnsi="Arial" w:cs="Arial"/>
          <w:color w:val="000000"/>
          <w:sz w:val="20"/>
          <w:szCs w:val="20"/>
        </w:rPr>
        <w:t>)</w:t>
      </w:r>
      <w:r w:rsidRPr="00E53EAF">
        <w:rPr>
          <w:rFonts w:ascii="Arial" w:eastAsia="Cambria" w:hAnsi="Arial" w:cs="Arial"/>
          <w:color w:val="000000"/>
          <w:sz w:val="20"/>
          <w:szCs w:val="20"/>
        </w:rPr>
        <w:t xml:space="preserve"> in accordance with section 25 of the </w:t>
      </w:r>
      <w:r w:rsidR="00A142D6" w:rsidRPr="00A142D6">
        <w:rPr>
          <w:rFonts w:ascii="Arial" w:eastAsia="Cambria" w:hAnsi="Arial" w:cs="Arial"/>
          <w:color w:val="000000"/>
          <w:sz w:val="20"/>
          <w:szCs w:val="20"/>
        </w:rPr>
        <w:t>Health Practitioner Regulation National Law</w:t>
      </w:r>
      <w:r w:rsidR="00731C81">
        <w:rPr>
          <w:rFonts w:ascii="Arial" w:eastAsia="Cambria" w:hAnsi="Arial" w:cs="Arial"/>
          <w:i/>
          <w:color w:val="000000"/>
          <w:sz w:val="20"/>
          <w:szCs w:val="20"/>
        </w:rPr>
        <w:t>,</w:t>
      </w:r>
      <w:r w:rsidRPr="00E53EAF">
        <w:rPr>
          <w:rFonts w:ascii="Arial" w:eastAsia="Cambria" w:hAnsi="Arial" w:cs="Arial"/>
          <w:i/>
          <w:color w:val="000000"/>
          <w:sz w:val="20"/>
          <w:szCs w:val="20"/>
        </w:rPr>
        <w:t xml:space="preserve"> </w:t>
      </w:r>
      <w:r w:rsidRPr="00E53EAF">
        <w:rPr>
          <w:rFonts w:ascii="Arial" w:eastAsia="Cambria" w:hAnsi="Arial" w:cs="Arial"/>
          <w:color w:val="000000"/>
          <w:sz w:val="20"/>
          <w:szCs w:val="20"/>
        </w:rPr>
        <w:t>as in force in each state and territory (the National Law)</w:t>
      </w:r>
      <w:r w:rsidR="00181F1F">
        <w:rPr>
          <w:rFonts w:ascii="Arial" w:eastAsia="Cambria" w:hAnsi="Arial" w:cs="Arial"/>
          <w:color w:val="000000"/>
          <w:sz w:val="20"/>
          <w:szCs w:val="20"/>
        </w:rPr>
        <w:t>,</w:t>
      </w:r>
      <w:r w:rsidRPr="00E53EAF">
        <w:rPr>
          <w:rFonts w:ascii="Arial" w:eastAsia="Cambria" w:hAnsi="Arial" w:cs="Arial"/>
          <w:color w:val="000000"/>
          <w:sz w:val="20"/>
          <w:szCs w:val="20"/>
        </w:rPr>
        <w:t xml:space="preserve"> which requires AHPRA to establish procedures for the purpose of ensuring that the National Registration and Accreditation Scheme </w:t>
      </w:r>
      <w:r w:rsidR="00731C81">
        <w:rPr>
          <w:rFonts w:ascii="Arial" w:eastAsia="Cambria" w:hAnsi="Arial" w:cs="Arial"/>
          <w:color w:val="000000"/>
          <w:sz w:val="20"/>
          <w:szCs w:val="20"/>
        </w:rPr>
        <w:t xml:space="preserve">(the National Scheme) </w:t>
      </w:r>
      <w:r w:rsidRPr="00E53EAF">
        <w:rPr>
          <w:rFonts w:ascii="Arial" w:eastAsia="Cambria" w:hAnsi="Arial" w:cs="Arial"/>
          <w:color w:val="000000"/>
          <w:sz w:val="20"/>
          <w:szCs w:val="20"/>
        </w:rPr>
        <w:t>operates in accordance with good regulatory practice.</w:t>
      </w:r>
      <w:bookmarkEnd w:id="39"/>
      <w:bookmarkEnd w:id="40"/>
    </w:p>
    <w:p w:rsidR="00156FC5" w:rsidRPr="00E53EAF" w:rsidRDefault="00156FC5" w:rsidP="00156FC5">
      <w:pPr>
        <w:spacing w:after="200" w:line="240" w:lineRule="auto"/>
        <w:outlineLvl w:val="0"/>
        <w:rPr>
          <w:rFonts w:ascii="Arial" w:eastAsia="Cambria" w:hAnsi="Arial" w:cs="Arial"/>
          <w:color w:val="000000"/>
          <w:sz w:val="20"/>
          <w:szCs w:val="20"/>
        </w:rPr>
      </w:pPr>
      <w:bookmarkStart w:id="41" w:name="_Toc354073144"/>
      <w:bookmarkStart w:id="42" w:name="_Toc403318437"/>
      <w:r w:rsidRPr="00E53EAF">
        <w:rPr>
          <w:rFonts w:ascii="Arial" w:eastAsia="Cambria" w:hAnsi="Arial" w:cs="Arial"/>
          <w:color w:val="000000"/>
          <w:sz w:val="20"/>
          <w:szCs w:val="20"/>
        </w:rPr>
        <w:t>Below is the National Board’s ass</w:t>
      </w:r>
      <w:r w:rsidR="00360124" w:rsidRPr="00E53EAF">
        <w:rPr>
          <w:rFonts w:ascii="Arial" w:eastAsia="Cambria" w:hAnsi="Arial" w:cs="Arial"/>
          <w:color w:val="000000"/>
          <w:sz w:val="20"/>
          <w:szCs w:val="20"/>
        </w:rPr>
        <w:t xml:space="preserve">essment of </w:t>
      </w:r>
      <w:r w:rsidR="00155813">
        <w:rPr>
          <w:rFonts w:ascii="Arial" w:eastAsia="Cambria" w:hAnsi="Arial" w:cs="Arial"/>
          <w:color w:val="000000"/>
          <w:sz w:val="20"/>
          <w:szCs w:val="20"/>
        </w:rPr>
        <w:t>its</w:t>
      </w:r>
      <w:r w:rsidR="00360124" w:rsidRPr="00E53EAF">
        <w:rPr>
          <w:rFonts w:ascii="Arial" w:eastAsia="Cambria" w:hAnsi="Arial" w:cs="Arial"/>
          <w:color w:val="000000"/>
          <w:sz w:val="20"/>
          <w:szCs w:val="20"/>
        </w:rPr>
        <w:t xml:space="preserve"> proposed guidelines </w:t>
      </w:r>
      <w:r w:rsidRPr="00E53EAF">
        <w:rPr>
          <w:rFonts w:ascii="Arial" w:eastAsia="Cambria" w:hAnsi="Arial" w:cs="Arial"/>
          <w:color w:val="000000"/>
          <w:sz w:val="20"/>
          <w:szCs w:val="20"/>
        </w:rPr>
        <w:t>against the three elements outlined in the AHPRA procedures.</w:t>
      </w:r>
      <w:bookmarkEnd w:id="41"/>
      <w:bookmarkEnd w:id="42"/>
    </w:p>
    <w:p w:rsidR="00156FC5" w:rsidRPr="00E53EAF" w:rsidRDefault="00156FC5" w:rsidP="009D19A9">
      <w:pPr>
        <w:pStyle w:val="ListParagraph"/>
        <w:numPr>
          <w:ilvl w:val="6"/>
          <w:numId w:val="12"/>
        </w:numPr>
        <w:tabs>
          <w:tab w:val="clear" w:pos="3087"/>
          <w:tab w:val="num" w:pos="426"/>
        </w:tabs>
        <w:spacing w:before="120" w:after="120" w:line="240" w:lineRule="auto"/>
        <w:ind w:left="426" w:hanging="426"/>
        <w:outlineLvl w:val="0"/>
        <w:rPr>
          <w:rFonts w:ascii="Arial" w:eastAsia="Cambria" w:hAnsi="Arial" w:cs="Arial"/>
          <w:b/>
          <w:color w:val="007DC3"/>
          <w:sz w:val="20"/>
          <w:szCs w:val="20"/>
        </w:rPr>
      </w:pPr>
      <w:r w:rsidRPr="00E53EAF">
        <w:rPr>
          <w:rFonts w:ascii="Arial" w:eastAsia="Cambria" w:hAnsi="Arial" w:cs="Arial"/>
          <w:b/>
          <w:color w:val="007DC3"/>
          <w:sz w:val="20"/>
          <w:szCs w:val="20"/>
        </w:rPr>
        <w:t>The proposal takes into account the National Scheme’s objectives and guiding principles set out in section 3 of the National Law.</w:t>
      </w:r>
    </w:p>
    <w:p w:rsidR="00156FC5" w:rsidRPr="00E53EAF" w:rsidRDefault="00156FC5" w:rsidP="00694FFD">
      <w:pPr>
        <w:spacing w:after="200" w:line="240" w:lineRule="auto"/>
        <w:ind w:left="426"/>
        <w:outlineLvl w:val="0"/>
        <w:rPr>
          <w:rFonts w:ascii="Arial" w:eastAsia="Cambria" w:hAnsi="Arial" w:cs="Arial"/>
          <w:b/>
          <w:color w:val="000000"/>
          <w:sz w:val="20"/>
          <w:szCs w:val="20"/>
        </w:rPr>
      </w:pPr>
      <w:r w:rsidRPr="00E53EAF">
        <w:rPr>
          <w:rFonts w:ascii="Arial" w:eastAsia="Cambria" w:hAnsi="Arial" w:cs="Arial"/>
          <w:b/>
          <w:color w:val="000000"/>
          <w:sz w:val="20"/>
          <w:szCs w:val="20"/>
        </w:rPr>
        <w:t xml:space="preserve">Board </w:t>
      </w:r>
      <w:r w:rsidR="00731C81">
        <w:rPr>
          <w:rFonts w:ascii="Arial" w:eastAsia="Cambria" w:hAnsi="Arial" w:cs="Arial"/>
          <w:b/>
          <w:color w:val="000000"/>
          <w:sz w:val="20"/>
          <w:szCs w:val="20"/>
        </w:rPr>
        <w:t>a</w:t>
      </w:r>
      <w:r w:rsidRPr="00E53EAF">
        <w:rPr>
          <w:rFonts w:ascii="Arial" w:eastAsia="Cambria" w:hAnsi="Arial" w:cs="Arial"/>
          <w:b/>
          <w:color w:val="000000"/>
          <w:sz w:val="20"/>
          <w:szCs w:val="20"/>
        </w:rPr>
        <w:t>ssessment</w:t>
      </w:r>
    </w:p>
    <w:p w:rsidR="00A65E96" w:rsidRDefault="00A65E96" w:rsidP="00A65E96">
      <w:pPr>
        <w:spacing w:after="200" w:line="240" w:lineRule="auto"/>
        <w:ind w:left="426"/>
        <w:outlineLvl w:val="0"/>
        <w:rPr>
          <w:rFonts w:ascii="Arial" w:eastAsia="Cambria" w:hAnsi="Arial" w:cs="Arial"/>
          <w:color w:val="000000"/>
          <w:sz w:val="20"/>
          <w:szCs w:val="20"/>
        </w:rPr>
      </w:pPr>
      <w:r w:rsidRPr="00E53EAF">
        <w:rPr>
          <w:rFonts w:ascii="Arial" w:eastAsia="Cambria" w:hAnsi="Arial" w:cs="Arial"/>
          <w:color w:val="000000"/>
          <w:sz w:val="20"/>
          <w:szCs w:val="20"/>
        </w:rPr>
        <w:t>The Board considers that the draft guideline</w:t>
      </w:r>
      <w:r w:rsidR="00155813">
        <w:rPr>
          <w:rFonts w:ascii="Arial" w:eastAsia="Cambria" w:hAnsi="Arial" w:cs="Arial"/>
          <w:color w:val="000000"/>
          <w:sz w:val="20"/>
          <w:szCs w:val="20"/>
        </w:rPr>
        <w:t>s</w:t>
      </w:r>
      <w:r w:rsidRPr="00E53EAF">
        <w:rPr>
          <w:rFonts w:ascii="Arial" w:eastAsia="Cambria" w:hAnsi="Arial" w:cs="Arial"/>
          <w:color w:val="000000"/>
          <w:sz w:val="20"/>
          <w:szCs w:val="20"/>
        </w:rPr>
        <w:t xml:space="preserve"> meet the objectives and guiding principles of the National Law.</w:t>
      </w:r>
    </w:p>
    <w:p w:rsidR="00F26727" w:rsidRDefault="001A0D16" w:rsidP="00F26727">
      <w:pPr>
        <w:spacing w:after="200" w:line="240" w:lineRule="auto"/>
        <w:ind w:left="426"/>
        <w:outlineLvl w:val="0"/>
        <w:rPr>
          <w:rFonts w:ascii="Arial" w:eastAsia="Cambria" w:hAnsi="Arial" w:cs="Arial"/>
          <w:color w:val="000000"/>
          <w:sz w:val="20"/>
          <w:szCs w:val="20"/>
        </w:rPr>
      </w:pPr>
      <w:r>
        <w:rPr>
          <w:rFonts w:ascii="Arial" w:eastAsia="Cambria" w:hAnsi="Arial" w:cs="Arial"/>
          <w:color w:val="000000"/>
          <w:sz w:val="20"/>
          <w:szCs w:val="20"/>
        </w:rPr>
        <w:t xml:space="preserve">The approved </w:t>
      </w:r>
      <w:r w:rsidRPr="001A0D16">
        <w:rPr>
          <w:rFonts w:ascii="Arial" w:eastAsia="Cambria" w:hAnsi="Arial" w:cs="Arial"/>
          <w:i/>
          <w:color w:val="000000"/>
          <w:sz w:val="20"/>
          <w:szCs w:val="20"/>
        </w:rPr>
        <w:t>Supervised practice registration standard</w:t>
      </w:r>
      <w:r>
        <w:rPr>
          <w:rFonts w:ascii="Arial" w:eastAsia="Cambria" w:hAnsi="Arial" w:cs="Arial"/>
          <w:color w:val="000000"/>
          <w:sz w:val="20"/>
          <w:szCs w:val="20"/>
        </w:rPr>
        <w:t xml:space="preserve"> makes provision for the Board to use an e</w:t>
      </w:r>
      <w:r w:rsidR="00C0594B">
        <w:rPr>
          <w:rFonts w:ascii="Arial" w:eastAsia="Cambria" w:hAnsi="Arial" w:cs="Arial"/>
          <w:color w:val="000000"/>
          <w:sz w:val="20"/>
          <w:szCs w:val="20"/>
        </w:rPr>
        <w:t>xamination. The draft guideline</w:t>
      </w:r>
      <w:r w:rsidR="00155813">
        <w:rPr>
          <w:rFonts w:ascii="Arial" w:eastAsia="Cambria" w:hAnsi="Arial" w:cs="Arial"/>
          <w:color w:val="000000"/>
          <w:sz w:val="20"/>
          <w:szCs w:val="20"/>
        </w:rPr>
        <w:t>s</w:t>
      </w:r>
      <w:r>
        <w:rPr>
          <w:rFonts w:ascii="Arial" w:eastAsia="Cambria" w:hAnsi="Arial" w:cs="Arial"/>
          <w:color w:val="000000"/>
          <w:sz w:val="20"/>
          <w:szCs w:val="20"/>
        </w:rPr>
        <w:t xml:space="preserve"> </w:t>
      </w:r>
      <w:r w:rsidR="005D684E">
        <w:rPr>
          <w:rFonts w:ascii="Arial" w:eastAsia="Cambria" w:hAnsi="Arial" w:cs="Arial"/>
          <w:color w:val="000000"/>
          <w:sz w:val="20"/>
          <w:szCs w:val="20"/>
        </w:rPr>
        <w:t>provide that the</w:t>
      </w:r>
      <w:r>
        <w:rPr>
          <w:rFonts w:ascii="Arial" w:eastAsia="Cambria" w:hAnsi="Arial" w:cs="Arial"/>
          <w:color w:val="000000"/>
          <w:sz w:val="20"/>
          <w:szCs w:val="20"/>
        </w:rPr>
        <w:t xml:space="preserve"> Board will use an examination where a person is not qualified for general registration or there are concerns about a practitioner</w:t>
      </w:r>
      <w:r w:rsidR="00155813">
        <w:rPr>
          <w:rFonts w:ascii="Arial" w:eastAsia="Cambria" w:hAnsi="Arial" w:cs="Arial"/>
          <w:color w:val="000000"/>
          <w:sz w:val="20"/>
          <w:szCs w:val="20"/>
        </w:rPr>
        <w:t>’</w:t>
      </w:r>
      <w:r>
        <w:rPr>
          <w:rFonts w:ascii="Arial" w:eastAsia="Cambria" w:hAnsi="Arial" w:cs="Arial"/>
          <w:color w:val="000000"/>
          <w:sz w:val="20"/>
          <w:szCs w:val="20"/>
        </w:rPr>
        <w:t>s practice</w:t>
      </w:r>
      <w:r w:rsidR="005D684E">
        <w:rPr>
          <w:rFonts w:ascii="Arial" w:eastAsia="Cambria" w:hAnsi="Arial" w:cs="Arial"/>
          <w:color w:val="000000"/>
          <w:sz w:val="20"/>
          <w:szCs w:val="20"/>
        </w:rPr>
        <w:t xml:space="preserve">, or where an examination is a requirement of an approved registration standard. </w:t>
      </w:r>
      <w:r w:rsidR="00F26727" w:rsidRPr="00E53EAF">
        <w:rPr>
          <w:rFonts w:ascii="Arial" w:eastAsia="Cambria" w:hAnsi="Arial" w:cs="Arial"/>
          <w:color w:val="000000"/>
          <w:sz w:val="20"/>
          <w:szCs w:val="20"/>
        </w:rPr>
        <w:t xml:space="preserve">The use of an examination ensures that </w:t>
      </w:r>
      <w:r w:rsidR="00F26727">
        <w:rPr>
          <w:rFonts w:ascii="Arial" w:eastAsia="Cambria" w:hAnsi="Arial" w:cs="Arial"/>
          <w:color w:val="000000"/>
          <w:sz w:val="20"/>
          <w:szCs w:val="20"/>
        </w:rPr>
        <w:t>practitioners</w:t>
      </w:r>
      <w:r w:rsidR="00F26727" w:rsidRPr="00E53EAF">
        <w:rPr>
          <w:rFonts w:ascii="Arial" w:eastAsia="Cambria" w:hAnsi="Arial" w:cs="Arial"/>
          <w:color w:val="000000"/>
          <w:sz w:val="20"/>
          <w:szCs w:val="20"/>
        </w:rPr>
        <w:t xml:space="preserve"> have the opportunity to demonstrate that they meet the minimum capabilities to practi</w:t>
      </w:r>
      <w:r w:rsidR="00F26727">
        <w:rPr>
          <w:rFonts w:ascii="Arial" w:eastAsia="Cambria" w:hAnsi="Arial" w:cs="Arial"/>
          <w:color w:val="000000"/>
          <w:sz w:val="20"/>
          <w:szCs w:val="20"/>
        </w:rPr>
        <w:t>s</w:t>
      </w:r>
      <w:r w:rsidR="00F26727" w:rsidRPr="00E53EAF">
        <w:rPr>
          <w:rFonts w:ascii="Arial" w:eastAsia="Cambria" w:hAnsi="Arial" w:cs="Arial"/>
          <w:color w:val="000000"/>
          <w:sz w:val="20"/>
          <w:szCs w:val="20"/>
        </w:rPr>
        <w:t xml:space="preserve">e safely and ethically in the profession. </w:t>
      </w:r>
    </w:p>
    <w:p w:rsidR="00A65E96" w:rsidRPr="00E53EAF" w:rsidRDefault="00A65E96" w:rsidP="00A65E96">
      <w:pPr>
        <w:spacing w:after="200" w:line="240" w:lineRule="auto"/>
        <w:ind w:left="426"/>
        <w:outlineLvl w:val="0"/>
        <w:rPr>
          <w:rFonts w:ascii="Arial" w:eastAsia="Cambria" w:hAnsi="Arial" w:cs="Arial"/>
          <w:color w:val="000000"/>
          <w:sz w:val="20"/>
          <w:szCs w:val="20"/>
        </w:rPr>
      </w:pPr>
      <w:bookmarkStart w:id="43" w:name="_Toc354073147"/>
      <w:bookmarkStart w:id="44" w:name="_Toc403318440"/>
      <w:r w:rsidRPr="00E53EAF">
        <w:rPr>
          <w:rFonts w:ascii="Arial" w:eastAsia="Cambria" w:hAnsi="Arial" w:cs="Arial"/>
          <w:color w:val="000000"/>
          <w:sz w:val="20"/>
          <w:szCs w:val="20"/>
        </w:rPr>
        <w:t xml:space="preserve">The draft guidelines will provide for the protection of the public </w:t>
      </w:r>
      <w:bookmarkEnd w:id="43"/>
      <w:r w:rsidRPr="00E53EAF">
        <w:rPr>
          <w:rFonts w:ascii="Arial" w:eastAsia="Cambria" w:hAnsi="Arial" w:cs="Arial"/>
          <w:color w:val="000000"/>
          <w:sz w:val="20"/>
          <w:szCs w:val="20"/>
        </w:rPr>
        <w:t>by ensuring that only health practitioners who are suitably trained and qualified to practise in a competent and ethical manner are registered.</w:t>
      </w:r>
      <w:bookmarkEnd w:id="44"/>
    </w:p>
    <w:p w:rsidR="00E130BC" w:rsidRDefault="00A65E96" w:rsidP="00E130BC">
      <w:pPr>
        <w:spacing w:after="0" w:line="240" w:lineRule="auto"/>
        <w:ind w:left="426"/>
        <w:outlineLvl w:val="0"/>
        <w:rPr>
          <w:rFonts w:ascii="Arial" w:eastAsia="Cambria" w:hAnsi="Arial" w:cs="Arial"/>
          <w:color w:val="000000"/>
          <w:sz w:val="20"/>
          <w:szCs w:val="20"/>
        </w:rPr>
      </w:pPr>
      <w:bookmarkStart w:id="45" w:name="_Toc354073148"/>
      <w:bookmarkStart w:id="46" w:name="_Toc403318441"/>
      <w:r w:rsidRPr="00E53EAF">
        <w:rPr>
          <w:rFonts w:ascii="Arial" w:eastAsia="Cambria" w:hAnsi="Arial" w:cs="Arial"/>
          <w:color w:val="000000"/>
          <w:sz w:val="20"/>
          <w:szCs w:val="20"/>
        </w:rPr>
        <w:t>The draft guidelines also support the National Scheme to operate in a transparent, accountable, efficient, effective and fair way.</w:t>
      </w:r>
      <w:bookmarkEnd w:id="45"/>
      <w:bookmarkEnd w:id="46"/>
    </w:p>
    <w:p w:rsidR="00156FC5" w:rsidRPr="00E53EAF" w:rsidRDefault="00694FFD" w:rsidP="009D19A9">
      <w:pPr>
        <w:pStyle w:val="ListParagraph"/>
        <w:numPr>
          <w:ilvl w:val="6"/>
          <w:numId w:val="12"/>
        </w:numPr>
        <w:tabs>
          <w:tab w:val="clear" w:pos="3087"/>
          <w:tab w:val="num" w:pos="426"/>
        </w:tabs>
        <w:spacing w:before="120" w:after="120" w:line="240" w:lineRule="auto"/>
        <w:ind w:left="426" w:hanging="426"/>
        <w:outlineLvl w:val="0"/>
        <w:rPr>
          <w:rFonts w:ascii="Arial" w:eastAsia="Cambria" w:hAnsi="Arial" w:cs="Arial"/>
          <w:b/>
          <w:color w:val="007DC3"/>
          <w:sz w:val="20"/>
          <w:szCs w:val="20"/>
        </w:rPr>
      </w:pPr>
      <w:r w:rsidRPr="00E53EAF">
        <w:rPr>
          <w:rFonts w:ascii="Arial" w:eastAsia="Cambria" w:hAnsi="Arial" w:cs="Arial"/>
          <w:b/>
          <w:color w:val="007DC3"/>
          <w:sz w:val="20"/>
          <w:szCs w:val="20"/>
        </w:rPr>
        <w:t>The consultation requirements of the National Law are met</w:t>
      </w:r>
    </w:p>
    <w:p w:rsidR="00A65E96" w:rsidRPr="00E53EAF" w:rsidRDefault="00A65E96" w:rsidP="00A65E96">
      <w:pPr>
        <w:spacing w:after="200" w:line="240" w:lineRule="auto"/>
        <w:ind w:left="426"/>
        <w:outlineLvl w:val="0"/>
        <w:rPr>
          <w:rFonts w:ascii="Arial" w:eastAsia="Cambria" w:hAnsi="Arial" w:cs="Arial"/>
          <w:b/>
          <w:color w:val="000000"/>
          <w:sz w:val="20"/>
          <w:szCs w:val="20"/>
        </w:rPr>
      </w:pPr>
      <w:bookmarkStart w:id="47" w:name="_Toc354073146"/>
      <w:bookmarkStart w:id="48" w:name="_Toc403318439"/>
      <w:r w:rsidRPr="00E53EAF">
        <w:rPr>
          <w:rFonts w:ascii="Arial" w:eastAsia="Cambria" w:hAnsi="Arial" w:cs="Arial"/>
          <w:b/>
          <w:color w:val="000000"/>
          <w:sz w:val="20"/>
          <w:szCs w:val="20"/>
        </w:rPr>
        <w:t>Board assessment</w:t>
      </w:r>
    </w:p>
    <w:p w:rsidR="00A65E96" w:rsidRPr="00E53EAF" w:rsidRDefault="00A65E96" w:rsidP="00A65E96">
      <w:pPr>
        <w:spacing w:after="200" w:line="240" w:lineRule="auto"/>
        <w:ind w:left="426"/>
        <w:outlineLvl w:val="0"/>
        <w:rPr>
          <w:rFonts w:ascii="Arial" w:eastAsia="Cambria" w:hAnsi="Arial" w:cs="Arial"/>
          <w:color w:val="000000"/>
          <w:sz w:val="20"/>
          <w:szCs w:val="20"/>
        </w:rPr>
      </w:pPr>
      <w:r w:rsidRPr="00E53EAF">
        <w:rPr>
          <w:rFonts w:ascii="Arial" w:eastAsia="Cambria" w:hAnsi="Arial" w:cs="Arial"/>
          <w:color w:val="000000"/>
          <w:sz w:val="20"/>
          <w:szCs w:val="20"/>
        </w:rPr>
        <w:t>The National Law requires wide-ranging consultation on proposed registration standards, codes and guidelines. The National Law also requires the Board to consult other Boards on matters of shared interest.</w:t>
      </w:r>
    </w:p>
    <w:p w:rsidR="00A65E96" w:rsidRPr="00E53EAF" w:rsidRDefault="00A65E96" w:rsidP="00A65E96">
      <w:pPr>
        <w:spacing w:after="200" w:line="240" w:lineRule="auto"/>
        <w:ind w:left="426"/>
        <w:outlineLvl w:val="0"/>
        <w:rPr>
          <w:rFonts w:ascii="Arial" w:eastAsia="Cambria" w:hAnsi="Arial" w:cs="Arial"/>
          <w:color w:val="000000"/>
          <w:sz w:val="20"/>
          <w:szCs w:val="20"/>
        </w:rPr>
      </w:pPr>
      <w:r w:rsidRPr="00E53EAF">
        <w:rPr>
          <w:rFonts w:ascii="Arial" w:eastAsia="Cambria" w:hAnsi="Arial" w:cs="Arial"/>
          <w:color w:val="000000"/>
          <w:sz w:val="20"/>
          <w:szCs w:val="20"/>
        </w:rPr>
        <w:t xml:space="preserve">The Board will ensure that there is public exposure of its proposal and there is the opportunity for public comment by undertaking an eight week public consultation process. This process includes the publication of the consultation paper (and attachments) on its website.  </w:t>
      </w:r>
    </w:p>
    <w:p w:rsidR="00A65E96" w:rsidRPr="00E53EAF" w:rsidRDefault="00A65E96" w:rsidP="00A65E96">
      <w:pPr>
        <w:spacing w:after="200" w:line="240" w:lineRule="auto"/>
        <w:ind w:left="426"/>
        <w:outlineLvl w:val="0"/>
        <w:rPr>
          <w:rFonts w:ascii="Arial" w:eastAsia="Cambria" w:hAnsi="Arial" w:cs="Arial"/>
          <w:color w:val="000000"/>
          <w:sz w:val="20"/>
          <w:szCs w:val="20"/>
        </w:rPr>
      </w:pPr>
      <w:r w:rsidRPr="00E53EAF">
        <w:rPr>
          <w:rFonts w:ascii="Arial" w:eastAsia="Cambria" w:hAnsi="Arial" w:cs="Arial"/>
          <w:color w:val="000000"/>
          <w:sz w:val="20"/>
          <w:szCs w:val="20"/>
        </w:rPr>
        <w:t xml:space="preserve">The Board has drawn this paper to the attention of key stakeholders. </w:t>
      </w:r>
    </w:p>
    <w:p w:rsidR="00A65E96" w:rsidRPr="00E53EAF" w:rsidRDefault="00A65E96" w:rsidP="00A65E96">
      <w:pPr>
        <w:spacing w:after="200" w:line="240" w:lineRule="auto"/>
        <w:ind w:left="426"/>
        <w:outlineLvl w:val="0"/>
        <w:rPr>
          <w:rFonts w:ascii="Arial" w:eastAsia="Cambria" w:hAnsi="Arial" w:cs="Arial"/>
          <w:color w:val="000000"/>
          <w:sz w:val="20"/>
          <w:szCs w:val="20"/>
        </w:rPr>
      </w:pPr>
      <w:r w:rsidRPr="00E53EAF">
        <w:rPr>
          <w:rFonts w:ascii="Arial" w:eastAsia="Cambria" w:hAnsi="Arial" w:cs="Arial"/>
          <w:color w:val="000000"/>
          <w:sz w:val="20"/>
          <w:szCs w:val="20"/>
        </w:rPr>
        <w:t>The Board will take into account the feedback it receives when finalising guidance for the medical radiation profession.</w:t>
      </w:r>
    </w:p>
    <w:bookmarkEnd w:id="47"/>
    <w:bookmarkEnd w:id="48"/>
    <w:p w:rsidR="00156FC5" w:rsidRPr="00E53EAF" w:rsidRDefault="00694FFD" w:rsidP="009D19A9">
      <w:pPr>
        <w:pStyle w:val="ListParagraph"/>
        <w:numPr>
          <w:ilvl w:val="6"/>
          <w:numId w:val="12"/>
        </w:numPr>
        <w:tabs>
          <w:tab w:val="clear" w:pos="3087"/>
          <w:tab w:val="num" w:pos="426"/>
        </w:tabs>
        <w:spacing w:before="120" w:after="120" w:line="240" w:lineRule="auto"/>
        <w:ind w:left="426" w:hanging="426"/>
        <w:outlineLvl w:val="0"/>
        <w:rPr>
          <w:rFonts w:ascii="Arial" w:eastAsia="Cambria" w:hAnsi="Arial" w:cs="Arial"/>
          <w:b/>
          <w:color w:val="007DC3"/>
          <w:sz w:val="20"/>
          <w:szCs w:val="20"/>
        </w:rPr>
      </w:pPr>
      <w:r w:rsidRPr="00E53EAF">
        <w:rPr>
          <w:rFonts w:ascii="Arial" w:eastAsia="Cambria" w:hAnsi="Arial" w:cs="Arial"/>
          <w:b/>
          <w:color w:val="007DC3"/>
          <w:sz w:val="20"/>
          <w:szCs w:val="20"/>
        </w:rPr>
        <w:lastRenderedPageBreak/>
        <w:t xml:space="preserve">The proposal takes into account the COAG </w:t>
      </w:r>
      <w:r w:rsidR="00E130BC" w:rsidRPr="00E130BC">
        <w:rPr>
          <w:rFonts w:ascii="Arial" w:eastAsia="Cambria" w:hAnsi="Arial" w:cs="Arial"/>
          <w:b/>
          <w:color w:val="007DC3"/>
          <w:sz w:val="20"/>
          <w:szCs w:val="20"/>
        </w:rPr>
        <w:t>Principles for best practice regulation</w:t>
      </w:r>
    </w:p>
    <w:p w:rsidR="00156FC5" w:rsidRPr="00E53EAF" w:rsidRDefault="00156FC5" w:rsidP="000719FC">
      <w:pPr>
        <w:spacing w:before="120" w:after="0" w:line="240" w:lineRule="auto"/>
        <w:ind w:left="426"/>
        <w:outlineLvl w:val="0"/>
        <w:rPr>
          <w:rFonts w:ascii="Arial" w:eastAsia="Cambria" w:hAnsi="Arial" w:cs="Arial"/>
          <w:b/>
          <w:i/>
          <w:color w:val="7F7F7F"/>
          <w:sz w:val="20"/>
          <w:szCs w:val="20"/>
        </w:rPr>
      </w:pPr>
      <w:bookmarkStart w:id="49" w:name="_Toc354073154"/>
      <w:bookmarkStart w:id="50" w:name="_Toc403318447"/>
      <w:r w:rsidRPr="00E53EAF">
        <w:rPr>
          <w:rFonts w:ascii="Arial" w:eastAsia="Cambria" w:hAnsi="Arial" w:cs="Arial"/>
          <w:b/>
          <w:sz w:val="20"/>
          <w:szCs w:val="20"/>
        </w:rPr>
        <w:t>Board assessment</w:t>
      </w:r>
      <w:bookmarkEnd w:id="49"/>
      <w:bookmarkEnd w:id="50"/>
    </w:p>
    <w:p w:rsidR="00156FC5" w:rsidRPr="00E53EAF" w:rsidRDefault="00156FC5" w:rsidP="000719FC">
      <w:pPr>
        <w:spacing w:before="120" w:after="0" w:line="240" w:lineRule="auto"/>
        <w:ind w:left="426"/>
        <w:outlineLvl w:val="0"/>
        <w:rPr>
          <w:rFonts w:ascii="Arial" w:eastAsia="Cambria" w:hAnsi="Arial" w:cs="Arial"/>
          <w:sz w:val="20"/>
          <w:szCs w:val="20"/>
        </w:rPr>
      </w:pPr>
      <w:bookmarkStart w:id="51" w:name="_Toc354073155"/>
      <w:bookmarkStart w:id="52" w:name="_Toc403318448"/>
      <w:r w:rsidRPr="00E53EAF">
        <w:rPr>
          <w:rFonts w:ascii="Arial" w:eastAsia="Cambria" w:hAnsi="Arial" w:cs="Arial"/>
          <w:sz w:val="20"/>
          <w:szCs w:val="20"/>
        </w:rPr>
        <w:t>In developing the</w:t>
      </w:r>
      <w:r w:rsidR="000719FC" w:rsidRPr="00E53EAF">
        <w:rPr>
          <w:rFonts w:ascii="Arial" w:eastAsia="Cambria" w:hAnsi="Arial" w:cs="Arial"/>
          <w:sz w:val="20"/>
          <w:szCs w:val="20"/>
        </w:rPr>
        <w:t xml:space="preserve">se draft guidelines </w:t>
      </w:r>
      <w:r w:rsidRPr="00E53EAF">
        <w:rPr>
          <w:rFonts w:ascii="Arial" w:eastAsia="Cambria" w:hAnsi="Arial" w:cs="Arial"/>
          <w:sz w:val="20"/>
          <w:szCs w:val="20"/>
        </w:rPr>
        <w:t xml:space="preserve">for consultation, the Board has taken into account the Council of Australian Governments (COAG) </w:t>
      </w:r>
      <w:r w:rsidRPr="00E53EAF">
        <w:rPr>
          <w:rFonts w:ascii="Arial" w:eastAsia="Cambria" w:hAnsi="Arial" w:cs="Arial"/>
          <w:i/>
          <w:sz w:val="20"/>
          <w:szCs w:val="20"/>
        </w:rPr>
        <w:t xml:space="preserve">Principles for </w:t>
      </w:r>
      <w:r w:rsidR="00731C81">
        <w:rPr>
          <w:rFonts w:ascii="Arial" w:eastAsia="Cambria" w:hAnsi="Arial" w:cs="Arial"/>
          <w:i/>
          <w:sz w:val="20"/>
          <w:szCs w:val="20"/>
        </w:rPr>
        <w:t>b</w:t>
      </w:r>
      <w:r w:rsidRPr="00E53EAF">
        <w:rPr>
          <w:rFonts w:ascii="Arial" w:eastAsia="Cambria" w:hAnsi="Arial" w:cs="Arial"/>
          <w:i/>
          <w:sz w:val="20"/>
          <w:szCs w:val="20"/>
        </w:rPr>
        <w:t xml:space="preserve">est </w:t>
      </w:r>
      <w:r w:rsidR="00731C81">
        <w:rPr>
          <w:rFonts w:ascii="Arial" w:eastAsia="Cambria" w:hAnsi="Arial" w:cs="Arial"/>
          <w:i/>
          <w:sz w:val="20"/>
          <w:szCs w:val="20"/>
        </w:rPr>
        <w:t>p</w:t>
      </w:r>
      <w:r w:rsidRPr="00E53EAF">
        <w:rPr>
          <w:rFonts w:ascii="Arial" w:eastAsia="Cambria" w:hAnsi="Arial" w:cs="Arial"/>
          <w:i/>
          <w:sz w:val="20"/>
          <w:szCs w:val="20"/>
        </w:rPr>
        <w:t xml:space="preserve">ractice </w:t>
      </w:r>
      <w:r w:rsidR="00731C81">
        <w:rPr>
          <w:rFonts w:ascii="Arial" w:eastAsia="Cambria" w:hAnsi="Arial" w:cs="Arial"/>
          <w:i/>
          <w:sz w:val="20"/>
          <w:szCs w:val="20"/>
        </w:rPr>
        <w:t>r</w:t>
      </w:r>
      <w:r w:rsidRPr="00E53EAF">
        <w:rPr>
          <w:rFonts w:ascii="Arial" w:eastAsia="Cambria" w:hAnsi="Arial" w:cs="Arial"/>
          <w:i/>
          <w:sz w:val="20"/>
          <w:szCs w:val="20"/>
        </w:rPr>
        <w:t>egulation</w:t>
      </w:r>
      <w:r w:rsidRPr="00E53EAF">
        <w:rPr>
          <w:rFonts w:ascii="Arial" w:eastAsia="Cambria" w:hAnsi="Arial" w:cs="Arial"/>
          <w:sz w:val="20"/>
          <w:szCs w:val="20"/>
        </w:rPr>
        <w:t>.</w:t>
      </w:r>
      <w:bookmarkEnd w:id="51"/>
      <w:bookmarkEnd w:id="52"/>
      <w:r w:rsidRPr="00E53EAF">
        <w:rPr>
          <w:rFonts w:ascii="Arial" w:eastAsia="Cambria" w:hAnsi="Arial" w:cs="Arial"/>
          <w:sz w:val="20"/>
          <w:szCs w:val="20"/>
        </w:rPr>
        <w:t xml:space="preserve">  </w:t>
      </w:r>
    </w:p>
    <w:p w:rsidR="00156FC5" w:rsidRPr="00E53EAF" w:rsidRDefault="00156FC5" w:rsidP="000719FC">
      <w:pPr>
        <w:spacing w:before="120" w:after="0" w:line="240" w:lineRule="auto"/>
        <w:ind w:left="426"/>
        <w:outlineLvl w:val="0"/>
        <w:rPr>
          <w:rFonts w:ascii="Arial" w:eastAsia="Cambria" w:hAnsi="Arial" w:cs="Arial"/>
          <w:sz w:val="20"/>
          <w:szCs w:val="20"/>
        </w:rPr>
      </w:pPr>
      <w:bookmarkStart w:id="53" w:name="_Toc354073156"/>
      <w:bookmarkStart w:id="54" w:name="_Toc403318449"/>
      <w:r w:rsidRPr="00E53EAF">
        <w:rPr>
          <w:rFonts w:ascii="Arial" w:eastAsia="Cambria" w:hAnsi="Arial" w:cs="Arial"/>
          <w:sz w:val="20"/>
          <w:szCs w:val="20"/>
        </w:rPr>
        <w:t>As an overall statement, the Board has taken care not to propose unnecessary regulatory burdens that would create unjustified costs for the profession or the community.</w:t>
      </w:r>
      <w:bookmarkEnd w:id="53"/>
      <w:bookmarkEnd w:id="54"/>
      <w:r w:rsidRPr="00E53EAF">
        <w:rPr>
          <w:rFonts w:ascii="Arial" w:eastAsia="Cambria" w:hAnsi="Arial" w:cs="Arial"/>
          <w:sz w:val="20"/>
          <w:szCs w:val="20"/>
        </w:rPr>
        <w:t xml:space="preserve">  </w:t>
      </w:r>
    </w:p>
    <w:p w:rsidR="00156FC5" w:rsidRPr="00E53EAF" w:rsidRDefault="00156FC5" w:rsidP="000719FC">
      <w:pPr>
        <w:spacing w:before="120" w:after="0" w:line="240" w:lineRule="auto"/>
        <w:ind w:left="426"/>
        <w:outlineLvl w:val="0"/>
        <w:rPr>
          <w:rFonts w:ascii="Arial" w:eastAsia="Cambria" w:hAnsi="Arial" w:cs="Arial"/>
          <w:color w:val="000000"/>
          <w:sz w:val="20"/>
          <w:szCs w:val="20"/>
        </w:rPr>
      </w:pPr>
      <w:bookmarkStart w:id="55" w:name="_Toc354073157"/>
      <w:bookmarkStart w:id="56" w:name="_Toc403318450"/>
      <w:r w:rsidRPr="00E53EAF">
        <w:rPr>
          <w:rFonts w:ascii="Arial" w:eastAsia="Cambria" w:hAnsi="Arial" w:cs="Arial"/>
          <w:sz w:val="20"/>
          <w:szCs w:val="20"/>
        </w:rPr>
        <w:t xml:space="preserve">The Board makes the </w:t>
      </w:r>
      <w:r w:rsidRPr="00E53EAF">
        <w:rPr>
          <w:rFonts w:ascii="Arial" w:eastAsia="Cambria" w:hAnsi="Arial" w:cs="Arial"/>
          <w:color w:val="000000"/>
          <w:sz w:val="20"/>
          <w:szCs w:val="20"/>
        </w:rPr>
        <w:t>following assessment specific to each of the COAG principles expressed in the AHPRA procedures.</w:t>
      </w:r>
      <w:bookmarkEnd w:id="55"/>
      <w:bookmarkEnd w:id="56"/>
    </w:p>
    <w:p w:rsidR="00156FC5" w:rsidRPr="00E53EAF" w:rsidRDefault="00156FC5" w:rsidP="00156FC5">
      <w:pPr>
        <w:spacing w:before="120" w:after="0" w:line="240" w:lineRule="auto"/>
        <w:outlineLvl w:val="0"/>
        <w:rPr>
          <w:rFonts w:ascii="Arial" w:eastAsia="Cambria" w:hAnsi="Arial" w:cs="Arial"/>
          <w:b/>
          <w:color w:val="008EC4"/>
          <w:sz w:val="20"/>
          <w:szCs w:val="20"/>
        </w:rPr>
      </w:pPr>
    </w:p>
    <w:tbl>
      <w:tblPr>
        <w:tblW w:w="0" w:type="auto"/>
        <w:tblInd w:w="-142" w:type="dxa"/>
        <w:tblLook w:val="00A0" w:firstRow="1" w:lastRow="0" w:firstColumn="1" w:lastColumn="0" w:noHBand="0" w:noVBand="0"/>
      </w:tblPr>
      <w:tblGrid>
        <w:gridCol w:w="9026"/>
      </w:tblGrid>
      <w:tr w:rsidR="00156FC5" w:rsidRPr="00E53EAF" w:rsidTr="0020379D">
        <w:tc>
          <w:tcPr>
            <w:tcW w:w="9026" w:type="dxa"/>
          </w:tcPr>
          <w:p w:rsidR="00156FC5" w:rsidRPr="00E53EAF" w:rsidRDefault="00156FC5" w:rsidP="0020379D">
            <w:pPr>
              <w:spacing w:after="200" w:line="240" w:lineRule="auto"/>
              <w:ind w:left="284"/>
              <w:rPr>
                <w:rFonts w:ascii="Arial" w:eastAsia="Cambria" w:hAnsi="Arial" w:cs="Arial"/>
                <w:b/>
                <w:color w:val="007DC3"/>
                <w:sz w:val="20"/>
                <w:szCs w:val="24"/>
              </w:rPr>
            </w:pPr>
            <w:r w:rsidRPr="00E53EAF">
              <w:rPr>
                <w:rFonts w:ascii="Arial" w:eastAsia="Cambria" w:hAnsi="Arial" w:cs="Arial"/>
                <w:b/>
                <w:color w:val="007DC3"/>
                <w:sz w:val="20"/>
                <w:szCs w:val="24"/>
              </w:rPr>
              <w:t xml:space="preserve">COAG </w:t>
            </w:r>
            <w:r w:rsidR="00731C81">
              <w:rPr>
                <w:rFonts w:ascii="Arial" w:eastAsia="Cambria" w:hAnsi="Arial" w:cs="Arial"/>
                <w:b/>
                <w:color w:val="007DC3"/>
                <w:sz w:val="20"/>
                <w:szCs w:val="24"/>
              </w:rPr>
              <w:t>p</w:t>
            </w:r>
            <w:r w:rsidRPr="00E53EAF">
              <w:rPr>
                <w:rFonts w:ascii="Arial" w:eastAsia="Cambria" w:hAnsi="Arial" w:cs="Arial"/>
                <w:b/>
                <w:color w:val="007DC3"/>
                <w:sz w:val="20"/>
                <w:szCs w:val="24"/>
              </w:rPr>
              <w:t>rinciples</w:t>
            </w:r>
          </w:p>
          <w:p w:rsidR="00156FC5" w:rsidRPr="00E53EAF" w:rsidRDefault="00156FC5" w:rsidP="004F324C">
            <w:pPr>
              <w:numPr>
                <w:ilvl w:val="0"/>
                <w:numId w:val="3"/>
              </w:numPr>
              <w:spacing w:after="200" w:line="240" w:lineRule="auto"/>
              <w:ind w:left="426" w:hanging="284"/>
              <w:rPr>
                <w:rFonts w:ascii="Arial" w:eastAsia="Cambria" w:hAnsi="Arial" w:cs="Arial"/>
                <w:b/>
                <w:color w:val="007DC3"/>
                <w:sz w:val="20"/>
                <w:szCs w:val="24"/>
              </w:rPr>
            </w:pPr>
            <w:r w:rsidRPr="00E53EAF">
              <w:rPr>
                <w:rFonts w:ascii="Arial" w:eastAsia="Cambria" w:hAnsi="Arial" w:cs="Arial"/>
                <w:b/>
                <w:color w:val="007DC3"/>
                <w:sz w:val="20"/>
                <w:szCs w:val="24"/>
              </w:rPr>
              <w:t xml:space="preserve">Whether the proposal is the best option for achieving the proposal’s stated purpose and protection of the public  </w:t>
            </w:r>
          </w:p>
          <w:p w:rsidR="00156FC5" w:rsidRPr="00E53EAF" w:rsidRDefault="00156FC5" w:rsidP="004F324C">
            <w:pPr>
              <w:spacing w:before="120" w:after="120" w:line="240" w:lineRule="auto"/>
              <w:ind w:left="426"/>
              <w:outlineLvl w:val="0"/>
              <w:rPr>
                <w:rFonts w:ascii="Arial" w:eastAsia="Cambria" w:hAnsi="Arial" w:cs="Arial"/>
                <w:b/>
                <w:sz w:val="20"/>
                <w:szCs w:val="20"/>
              </w:rPr>
            </w:pPr>
            <w:bookmarkStart w:id="57" w:name="_Toc354073158"/>
            <w:bookmarkStart w:id="58" w:name="_Toc403318451"/>
            <w:r w:rsidRPr="00E53EAF">
              <w:rPr>
                <w:rFonts w:ascii="Arial" w:eastAsia="Cambria" w:hAnsi="Arial" w:cs="Arial"/>
                <w:b/>
                <w:sz w:val="20"/>
                <w:szCs w:val="20"/>
              </w:rPr>
              <w:t>Board assessment</w:t>
            </w:r>
            <w:bookmarkEnd w:id="57"/>
            <w:bookmarkEnd w:id="58"/>
          </w:p>
          <w:p w:rsidR="00156FC5" w:rsidRDefault="00F26727" w:rsidP="004F324C">
            <w:pPr>
              <w:spacing w:before="120" w:after="0" w:line="240" w:lineRule="auto"/>
              <w:ind w:left="426"/>
              <w:outlineLvl w:val="0"/>
              <w:rPr>
                <w:rFonts w:ascii="Arial" w:eastAsia="Cambria" w:hAnsi="Arial" w:cs="Arial"/>
                <w:sz w:val="20"/>
                <w:szCs w:val="20"/>
              </w:rPr>
            </w:pPr>
            <w:bookmarkStart w:id="59" w:name="_Toc354073159"/>
            <w:bookmarkStart w:id="60" w:name="_Toc403318452"/>
            <w:r>
              <w:rPr>
                <w:rFonts w:ascii="Arial" w:eastAsia="Cambria" w:hAnsi="Arial" w:cs="Arial"/>
                <w:sz w:val="20"/>
                <w:szCs w:val="20"/>
              </w:rPr>
              <w:t>The appro</w:t>
            </w:r>
            <w:r w:rsidR="001A0D16">
              <w:rPr>
                <w:rFonts w:ascii="Arial" w:eastAsia="Cambria" w:hAnsi="Arial" w:cs="Arial"/>
                <w:sz w:val="20"/>
                <w:szCs w:val="20"/>
              </w:rPr>
              <w:t xml:space="preserve">ved </w:t>
            </w:r>
            <w:r w:rsidR="001A0D16" w:rsidRPr="005D684E">
              <w:rPr>
                <w:rFonts w:ascii="Arial" w:eastAsia="Cambria" w:hAnsi="Arial" w:cs="Arial"/>
                <w:i/>
                <w:sz w:val="20"/>
                <w:szCs w:val="20"/>
              </w:rPr>
              <w:t>Supervised practice registra</w:t>
            </w:r>
            <w:r w:rsidRPr="005D684E">
              <w:rPr>
                <w:rFonts w:ascii="Arial" w:eastAsia="Cambria" w:hAnsi="Arial" w:cs="Arial"/>
                <w:i/>
                <w:sz w:val="20"/>
                <w:szCs w:val="20"/>
              </w:rPr>
              <w:t>tion standard</w:t>
            </w:r>
            <w:r>
              <w:rPr>
                <w:rFonts w:ascii="Arial" w:eastAsia="Cambria" w:hAnsi="Arial" w:cs="Arial"/>
                <w:sz w:val="20"/>
                <w:szCs w:val="20"/>
              </w:rPr>
              <w:t xml:space="preserve"> </w:t>
            </w:r>
            <w:r w:rsidR="005D684E">
              <w:rPr>
                <w:rFonts w:ascii="Arial" w:eastAsia="Cambria" w:hAnsi="Arial" w:cs="Arial"/>
                <w:sz w:val="20"/>
                <w:szCs w:val="20"/>
              </w:rPr>
              <w:t xml:space="preserve">requires a practitioner to undertake an examination where it is required by the Board. </w:t>
            </w:r>
            <w:r w:rsidR="00156FC5" w:rsidRPr="00E53EAF">
              <w:rPr>
                <w:rFonts w:ascii="Arial" w:eastAsia="Cambria" w:hAnsi="Arial" w:cs="Arial"/>
                <w:sz w:val="20"/>
                <w:szCs w:val="20"/>
              </w:rPr>
              <w:t>The Board consi</w:t>
            </w:r>
            <w:r w:rsidR="000719FC" w:rsidRPr="00E53EAF">
              <w:rPr>
                <w:rFonts w:ascii="Arial" w:eastAsia="Cambria" w:hAnsi="Arial" w:cs="Arial"/>
                <w:sz w:val="20"/>
                <w:szCs w:val="20"/>
              </w:rPr>
              <w:t xml:space="preserve">ders that </w:t>
            </w:r>
            <w:r>
              <w:rPr>
                <w:rFonts w:ascii="Arial" w:eastAsia="Cambria" w:hAnsi="Arial" w:cs="Arial"/>
                <w:sz w:val="20"/>
                <w:szCs w:val="20"/>
              </w:rPr>
              <w:t xml:space="preserve">draft </w:t>
            </w:r>
            <w:r w:rsidR="00E130BC" w:rsidRPr="00E130BC">
              <w:rPr>
                <w:rFonts w:ascii="Arial" w:eastAsia="Cambria" w:hAnsi="Arial" w:cs="Arial"/>
                <w:i/>
                <w:sz w:val="20"/>
                <w:szCs w:val="20"/>
              </w:rPr>
              <w:t>National examination guidelines</w:t>
            </w:r>
            <w:r>
              <w:rPr>
                <w:rFonts w:ascii="Arial" w:eastAsia="Cambria" w:hAnsi="Arial" w:cs="Arial"/>
                <w:sz w:val="20"/>
                <w:szCs w:val="20"/>
              </w:rPr>
              <w:t xml:space="preserve"> </w:t>
            </w:r>
            <w:r w:rsidR="00EA416C">
              <w:rPr>
                <w:rFonts w:ascii="Arial" w:eastAsia="Cambria" w:hAnsi="Arial" w:cs="Arial"/>
                <w:sz w:val="20"/>
                <w:szCs w:val="20"/>
              </w:rPr>
              <w:t>provide necessary information and guidance to practitioners on the conduct, preparation for</w:t>
            </w:r>
            <w:r w:rsidR="00866A27">
              <w:rPr>
                <w:rFonts w:ascii="Arial" w:eastAsia="Cambria" w:hAnsi="Arial" w:cs="Arial"/>
                <w:sz w:val="20"/>
                <w:szCs w:val="20"/>
              </w:rPr>
              <w:t>,</w:t>
            </w:r>
            <w:r w:rsidR="00EA416C">
              <w:rPr>
                <w:rFonts w:ascii="Arial" w:eastAsia="Cambria" w:hAnsi="Arial" w:cs="Arial"/>
                <w:sz w:val="20"/>
                <w:szCs w:val="20"/>
              </w:rPr>
              <w:t xml:space="preserve"> and outcomes of the examination.</w:t>
            </w:r>
            <w:bookmarkEnd w:id="59"/>
            <w:bookmarkEnd w:id="60"/>
          </w:p>
          <w:p w:rsidR="00EA416C" w:rsidRPr="00E53EAF" w:rsidRDefault="00EA416C" w:rsidP="0020379D">
            <w:pPr>
              <w:spacing w:before="120" w:after="0" w:line="240" w:lineRule="auto"/>
              <w:ind w:left="284"/>
              <w:outlineLvl w:val="0"/>
              <w:rPr>
                <w:rFonts w:ascii="Arial" w:eastAsia="Cambria" w:hAnsi="Arial" w:cs="Arial"/>
                <w:sz w:val="20"/>
                <w:szCs w:val="20"/>
              </w:rPr>
            </w:pPr>
          </w:p>
        </w:tc>
      </w:tr>
    </w:tbl>
    <w:p w:rsidR="00156FC5" w:rsidRPr="00EA416C" w:rsidRDefault="00156FC5" w:rsidP="009D19A9">
      <w:pPr>
        <w:numPr>
          <w:ilvl w:val="0"/>
          <w:numId w:val="3"/>
        </w:numPr>
        <w:spacing w:after="200" w:line="240" w:lineRule="auto"/>
        <w:ind w:left="284" w:hanging="284"/>
        <w:rPr>
          <w:rFonts w:ascii="Arial" w:eastAsia="Cambria" w:hAnsi="Arial" w:cs="Arial"/>
          <w:b/>
          <w:color w:val="007DC3"/>
          <w:sz w:val="20"/>
          <w:szCs w:val="24"/>
        </w:rPr>
      </w:pPr>
      <w:r w:rsidRPr="00E53EAF">
        <w:rPr>
          <w:rFonts w:ascii="Arial" w:eastAsia="Cambria" w:hAnsi="Arial" w:cs="Arial"/>
          <w:b/>
          <w:color w:val="007DC3"/>
          <w:sz w:val="20"/>
          <w:szCs w:val="24"/>
        </w:rPr>
        <w:t xml:space="preserve">Whether the proposal results in an unnecessary restriction of competition among health practitioners </w:t>
      </w:r>
    </w:p>
    <w:p w:rsidR="00156FC5" w:rsidRPr="00E53EAF" w:rsidRDefault="00156FC5" w:rsidP="0020379D">
      <w:pPr>
        <w:spacing w:before="120" w:after="120" w:line="240" w:lineRule="auto"/>
        <w:ind w:left="284"/>
        <w:outlineLvl w:val="0"/>
        <w:rPr>
          <w:rFonts w:ascii="Arial" w:eastAsia="Cambria" w:hAnsi="Arial" w:cs="Arial"/>
          <w:b/>
          <w:sz w:val="20"/>
          <w:szCs w:val="20"/>
        </w:rPr>
      </w:pPr>
      <w:bookmarkStart w:id="61" w:name="_Toc354073162"/>
      <w:bookmarkStart w:id="62" w:name="_Toc403318454"/>
      <w:r w:rsidRPr="00E53EAF">
        <w:rPr>
          <w:rFonts w:ascii="Arial" w:eastAsia="Cambria" w:hAnsi="Arial" w:cs="Arial"/>
          <w:b/>
          <w:sz w:val="20"/>
          <w:szCs w:val="20"/>
        </w:rPr>
        <w:t>Board assessment</w:t>
      </w:r>
      <w:bookmarkEnd w:id="61"/>
      <w:bookmarkEnd w:id="62"/>
    </w:p>
    <w:p w:rsidR="00156FC5" w:rsidRPr="00E53EAF" w:rsidRDefault="00156FC5" w:rsidP="0020379D">
      <w:pPr>
        <w:spacing w:after="200" w:line="240" w:lineRule="auto"/>
        <w:ind w:left="284"/>
        <w:rPr>
          <w:rFonts w:ascii="Arial" w:eastAsia="Cambria" w:hAnsi="Arial" w:cs="Arial"/>
          <w:sz w:val="20"/>
          <w:szCs w:val="20"/>
        </w:rPr>
      </w:pPr>
      <w:bookmarkStart w:id="63" w:name="_Toc354073163"/>
      <w:r w:rsidRPr="00E53EAF">
        <w:rPr>
          <w:rFonts w:ascii="Arial" w:eastAsia="Cambria" w:hAnsi="Arial" w:cs="Arial"/>
          <w:sz w:val="20"/>
          <w:szCs w:val="20"/>
        </w:rPr>
        <w:t xml:space="preserve">The Board considered whether its proposal could result in an unnecessary restriction of competition among health practitioners. The </w:t>
      </w:r>
      <w:r w:rsidR="00C60A22" w:rsidRPr="00E53EAF">
        <w:rPr>
          <w:rFonts w:ascii="Arial" w:eastAsia="Cambria" w:hAnsi="Arial" w:cs="Arial"/>
          <w:sz w:val="20"/>
          <w:szCs w:val="20"/>
        </w:rPr>
        <w:t xml:space="preserve">Board considers </w:t>
      </w:r>
      <w:r w:rsidR="00EA416C">
        <w:rPr>
          <w:rFonts w:ascii="Arial" w:eastAsia="Cambria" w:hAnsi="Arial" w:cs="Arial"/>
          <w:sz w:val="20"/>
          <w:szCs w:val="20"/>
        </w:rPr>
        <w:t>that</w:t>
      </w:r>
      <w:r w:rsidR="00C60A22" w:rsidRPr="00E53EAF">
        <w:rPr>
          <w:rFonts w:ascii="Arial" w:eastAsia="Cambria" w:hAnsi="Arial" w:cs="Arial"/>
          <w:sz w:val="20"/>
          <w:szCs w:val="20"/>
        </w:rPr>
        <w:t xml:space="preserve"> this </w:t>
      </w:r>
      <w:r w:rsidRPr="00E53EAF">
        <w:rPr>
          <w:rFonts w:ascii="Arial" w:eastAsia="Cambria" w:hAnsi="Arial" w:cs="Arial"/>
          <w:sz w:val="20"/>
          <w:szCs w:val="20"/>
        </w:rPr>
        <w:t>proposal is not expected to impact on the current levels of competition among health practitioners</w:t>
      </w:r>
      <w:r w:rsidR="00EA416C">
        <w:rPr>
          <w:rFonts w:ascii="Arial" w:eastAsia="Cambria" w:hAnsi="Arial" w:cs="Arial"/>
          <w:sz w:val="20"/>
          <w:szCs w:val="20"/>
        </w:rPr>
        <w:t>.</w:t>
      </w:r>
    </w:p>
    <w:bookmarkEnd w:id="63"/>
    <w:p w:rsidR="00156FC5" w:rsidRPr="00E53EAF" w:rsidRDefault="00156FC5" w:rsidP="009D19A9">
      <w:pPr>
        <w:numPr>
          <w:ilvl w:val="0"/>
          <w:numId w:val="3"/>
        </w:numPr>
        <w:spacing w:after="200" w:line="240" w:lineRule="auto"/>
        <w:ind w:left="284" w:hanging="284"/>
        <w:rPr>
          <w:rFonts w:ascii="Arial" w:eastAsia="Cambria" w:hAnsi="Arial" w:cs="Arial"/>
          <w:b/>
          <w:color w:val="007DC3"/>
          <w:sz w:val="20"/>
          <w:szCs w:val="24"/>
        </w:rPr>
      </w:pPr>
      <w:r w:rsidRPr="00E53EAF">
        <w:rPr>
          <w:rFonts w:ascii="Arial" w:eastAsia="Cambria" w:hAnsi="Arial" w:cs="Arial"/>
          <w:b/>
          <w:color w:val="007DC3"/>
          <w:sz w:val="20"/>
          <w:szCs w:val="24"/>
        </w:rPr>
        <w:t xml:space="preserve">Whether the proposal results in an unnecessary restriction of consumer choice </w:t>
      </w:r>
    </w:p>
    <w:p w:rsidR="00156FC5" w:rsidRPr="00E53EAF" w:rsidRDefault="00156FC5" w:rsidP="0020379D">
      <w:pPr>
        <w:spacing w:before="120" w:after="120" w:line="240" w:lineRule="auto"/>
        <w:ind w:left="284"/>
        <w:outlineLvl w:val="0"/>
        <w:rPr>
          <w:rFonts w:ascii="Arial" w:eastAsia="Cambria" w:hAnsi="Arial" w:cs="Arial"/>
          <w:b/>
          <w:sz w:val="20"/>
          <w:szCs w:val="20"/>
        </w:rPr>
      </w:pPr>
      <w:bookmarkStart w:id="64" w:name="_Toc354073164"/>
      <w:bookmarkStart w:id="65" w:name="_Toc403318455"/>
      <w:r w:rsidRPr="00E53EAF">
        <w:rPr>
          <w:rFonts w:ascii="Arial" w:eastAsia="Cambria" w:hAnsi="Arial" w:cs="Arial"/>
          <w:b/>
          <w:sz w:val="20"/>
          <w:szCs w:val="20"/>
        </w:rPr>
        <w:t>Board assessment</w:t>
      </w:r>
      <w:bookmarkEnd w:id="64"/>
      <w:bookmarkEnd w:id="65"/>
    </w:p>
    <w:p w:rsidR="00C60A22" w:rsidRPr="00E53EAF" w:rsidRDefault="00C60A22" w:rsidP="0020379D">
      <w:pPr>
        <w:spacing w:after="200" w:line="240" w:lineRule="auto"/>
        <w:ind w:left="284"/>
        <w:rPr>
          <w:rFonts w:ascii="Arial" w:eastAsia="Cambria" w:hAnsi="Arial" w:cs="Arial"/>
          <w:sz w:val="20"/>
          <w:szCs w:val="20"/>
        </w:rPr>
      </w:pPr>
      <w:r w:rsidRPr="00E53EAF">
        <w:rPr>
          <w:rFonts w:ascii="Arial" w:eastAsia="Cambria" w:hAnsi="Arial" w:cs="Arial"/>
          <w:sz w:val="20"/>
          <w:szCs w:val="20"/>
        </w:rPr>
        <w:t xml:space="preserve">The Board considered whether its proposal could result in an unnecessary restriction of </w:t>
      </w:r>
      <w:r w:rsidR="003A68A6" w:rsidRPr="00E53EAF">
        <w:rPr>
          <w:rFonts w:ascii="Arial" w:eastAsia="Cambria" w:hAnsi="Arial" w:cs="Arial"/>
          <w:sz w:val="20"/>
          <w:szCs w:val="20"/>
        </w:rPr>
        <w:t>choice for health consumers</w:t>
      </w:r>
      <w:r w:rsidRPr="00E53EAF">
        <w:rPr>
          <w:rFonts w:ascii="Arial" w:eastAsia="Cambria" w:hAnsi="Arial" w:cs="Arial"/>
          <w:sz w:val="20"/>
          <w:szCs w:val="20"/>
        </w:rPr>
        <w:t xml:space="preserve">. The Board </w:t>
      </w:r>
      <w:r w:rsidR="004F324C">
        <w:rPr>
          <w:rFonts w:ascii="Arial" w:eastAsia="Cambria" w:hAnsi="Arial" w:cs="Arial"/>
          <w:sz w:val="20"/>
          <w:szCs w:val="20"/>
        </w:rPr>
        <w:t>does not expect that the draft guidelines will significantly</w:t>
      </w:r>
      <w:r w:rsidRPr="00E53EAF">
        <w:rPr>
          <w:rFonts w:ascii="Arial" w:eastAsia="Cambria" w:hAnsi="Arial" w:cs="Arial"/>
          <w:sz w:val="20"/>
          <w:szCs w:val="20"/>
        </w:rPr>
        <w:t xml:space="preserve"> impact on the current levels of </w:t>
      </w:r>
      <w:r w:rsidR="003A68A6" w:rsidRPr="00E53EAF">
        <w:rPr>
          <w:rFonts w:ascii="Arial" w:eastAsia="Cambria" w:hAnsi="Arial" w:cs="Arial"/>
          <w:sz w:val="20"/>
          <w:szCs w:val="20"/>
        </w:rPr>
        <w:t>choice</w:t>
      </w:r>
      <w:r w:rsidRPr="00E53EAF">
        <w:rPr>
          <w:rFonts w:ascii="Arial" w:eastAsia="Cambria" w:hAnsi="Arial" w:cs="Arial"/>
          <w:sz w:val="20"/>
          <w:szCs w:val="20"/>
        </w:rPr>
        <w:t xml:space="preserve"> among health </w:t>
      </w:r>
      <w:r w:rsidR="003A68A6" w:rsidRPr="00E53EAF">
        <w:rPr>
          <w:rFonts w:ascii="Arial" w:eastAsia="Cambria" w:hAnsi="Arial" w:cs="Arial"/>
          <w:sz w:val="20"/>
          <w:szCs w:val="20"/>
        </w:rPr>
        <w:t>consumer</w:t>
      </w:r>
      <w:r w:rsidR="00EA416C">
        <w:rPr>
          <w:rFonts w:ascii="Arial" w:eastAsia="Cambria" w:hAnsi="Arial" w:cs="Arial"/>
          <w:sz w:val="20"/>
          <w:szCs w:val="20"/>
        </w:rPr>
        <w:t>s.</w:t>
      </w:r>
    </w:p>
    <w:p w:rsidR="00156FC5" w:rsidRPr="00E53EAF" w:rsidRDefault="00156FC5" w:rsidP="009D19A9">
      <w:pPr>
        <w:numPr>
          <w:ilvl w:val="0"/>
          <w:numId w:val="3"/>
        </w:numPr>
        <w:spacing w:after="200" w:line="240" w:lineRule="auto"/>
        <w:ind w:left="284" w:hanging="284"/>
        <w:rPr>
          <w:rFonts w:ascii="Arial" w:eastAsia="Cambria" w:hAnsi="Arial" w:cs="Arial"/>
          <w:b/>
          <w:color w:val="007DC3"/>
          <w:sz w:val="20"/>
          <w:szCs w:val="24"/>
        </w:rPr>
      </w:pPr>
      <w:r w:rsidRPr="00E53EAF">
        <w:rPr>
          <w:rFonts w:ascii="Arial" w:eastAsia="Cambria" w:hAnsi="Arial" w:cs="Arial"/>
          <w:b/>
          <w:color w:val="007DC3"/>
          <w:sz w:val="20"/>
          <w:szCs w:val="24"/>
        </w:rPr>
        <w:t xml:space="preserve">Whether the overall costs of the proposal to members of the public and/or registrants and/or governments are reasonable in relation to the benefits to be achieved </w:t>
      </w:r>
    </w:p>
    <w:p w:rsidR="00156FC5" w:rsidRPr="00E53EAF" w:rsidRDefault="00156FC5" w:rsidP="0020379D">
      <w:pPr>
        <w:spacing w:before="120" w:after="120" w:line="240" w:lineRule="auto"/>
        <w:ind w:left="284"/>
        <w:outlineLvl w:val="0"/>
        <w:rPr>
          <w:rFonts w:ascii="Arial" w:eastAsia="Cambria" w:hAnsi="Arial" w:cs="Arial"/>
          <w:b/>
          <w:sz w:val="20"/>
          <w:szCs w:val="20"/>
        </w:rPr>
      </w:pPr>
      <w:bookmarkStart w:id="66" w:name="_Toc354073165"/>
      <w:bookmarkStart w:id="67" w:name="_Toc403318456"/>
      <w:r w:rsidRPr="00E53EAF">
        <w:rPr>
          <w:rFonts w:ascii="Arial" w:eastAsia="Cambria" w:hAnsi="Arial" w:cs="Arial"/>
          <w:b/>
          <w:sz w:val="20"/>
          <w:szCs w:val="20"/>
        </w:rPr>
        <w:t>Board assessment</w:t>
      </w:r>
      <w:bookmarkEnd w:id="66"/>
      <w:bookmarkEnd w:id="67"/>
    </w:p>
    <w:p w:rsidR="00156FC5" w:rsidRPr="00E53EAF" w:rsidRDefault="00156FC5" w:rsidP="0020379D">
      <w:pPr>
        <w:spacing w:before="120" w:after="0" w:line="240" w:lineRule="auto"/>
        <w:ind w:left="284"/>
        <w:outlineLvl w:val="0"/>
        <w:rPr>
          <w:rFonts w:ascii="Arial" w:eastAsia="Cambria" w:hAnsi="Arial" w:cs="Arial"/>
          <w:sz w:val="20"/>
          <w:szCs w:val="20"/>
        </w:rPr>
      </w:pPr>
      <w:bookmarkStart w:id="68" w:name="_Toc354073166"/>
      <w:bookmarkStart w:id="69" w:name="_Toc403318457"/>
      <w:r w:rsidRPr="00E53EAF">
        <w:rPr>
          <w:rFonts w:ascii="Arial" w:eastAsia="Cambria" w:hAnsi="Arial" w:cs="Arial"/>
          <w:sz w:val="20"/>
          <w:szCs w:val="20"/>
        </w:rPr>
        <w:t xml:space="preserve">The Board considered the overall costs of the </w:t>
      </w:r>
      <w:r w:rsidR="000232A8" w:rsidRPr="00E53EAF">
        <w:rPr>
          <w:rFonts w:ascii="Arial" w:eastAsia="Cambria" w:hAnsi="Arial" w:cs="Arial"/>
          <w:sz w:val="20"/>
          <w:szCs w:val="20"/>
        </w:rPr>
        <w:t>draft guidelines</w:t>
      </w:r>
      <w:r w:rsidRPr="00E53EAF">
        <w:rPr>
          <w:rFonts w:ascii="Arial" w:eastAsia="Cambria" w:hAnsi="Arial" w:cs="Arial"/>
          <w:sz w:val="20"/>
          <w:szCs w:val="20"/>
        </w:rPr>
        <w:t xml:space="preserve"> to members of the public, registrants and governments and concluded that the likely costs are appropriate when offset against the benefit</w:t>
      </w:r>
      <w:r w:rsidR="003A68A6" w:rsidRPr="00E53EAF">
        <w:rPr>
          <w:rFonts w:ascii="Arial" w:eastAsia="Cambria" w:hAnsi="Arial" w:cs="Arial"/>
          <w:sz w:val="20"/>
          <w:szCs w:val="20"/>
        </w:rPr>
        <w:t xml:space="preserve">s </w:t>
      </w:r>
      <w:r w:rsidR="00EA416C">
        <w:rPr>
          <w:rFonts w:ascii="Arial" w:eastAsia="Cambria" w:hAnsi="Arial" w:cs="Arial"/>
          <w:sz w:val="20"/>
          <w:szCs w:val="20"/>
        </w:rPr>
        <w:t>for ensuring that only qualified and competent practitioners are registered</w:t>
      </w:r>
      <w:r w:rsidRPr="00E53EAF">
        <w:rPr>
          <w:rFonts w:ascii="Arial" w:eastAsia="Cambria" w:hAnsi="Arial" w:cs="Arial"/>
          <w:sz w:val="20"/>
          <w:szCs w:val="20"/>
        </w:rPr>
        <w:t>.</w:t>
      </w:r>
      <w:bookmarkEnd w:id="68"/>
      <w:bookmarkEnd w:id="69"/>
      <w:r w:rsidRPr="00E53EAF">
        <w:rPr>
          <w:rFonts w:ascii="Arial" w:eastAsia="Cambria" w:hAnsi="Arial" w:cs="Arial"/>
          <w:sz w:val="20"/>
          <w:szCs w:val="20"/>
        </w:rPr>
        <w:t xml:space="preserve"> </w:t>
      </w:r>
    </w:p>
    <w:p w:rsidR="00156FC5" w:rsidRPr="00E53EAF" w:rsidRDefault="00156FC5" w:rsidP="0020379D">
      <w:pPr>
        <w:spacing w:before="120" w:after="0" w:line="240" w:lineRule="auto"/>
        <w:ind w:left="284"/>
        <w:outlineLvl w:val="0"/>
        <w:rPr>
          <w:rFonts w:ascii="Arial" w:eastAsia="Cambria" w:hAnsi="Arial" w:cs="Arial"/>
          <w:sz w:val="20"/>
          <w:szCs w:val="20"/>
        </w:rPr>
      </w:pPr>
      <w:bookmarkStart w:id="70" w:name="_Toc403318458"/>
      <w:r w:rsidRPr="00E53EAF">
        <w:rPr>
          <w:rFonts w:ascii="Arial" w:eastAsia="Cambria" w:hAnsi="Arial" w:cs="Arial"/>
          <w:sz w:val="20"/>
          <w:szCs w:val="20"/>
        </w:rPr>
        <w:t xml:space="preserve">The Board considers the requirements </w:t>
      </w:r>
      <w:bookmarkEnd w:id="70"/>
      <w:r w:rsidR="003A68A6" w:rsidRPr="00E53EAF">
        <w:rPr>
          <w:rFonts w:ascii="Arial" w:eastAsia="Cambria" w:hAnsi="Arial" w:cs="Arial"/>
          <w:sz w:val="20"/>
          <w:szCs w:val="20"/>
        </w:rPr>
        <w:t xml:space="preserve">will have a low to moderate impact on costs to practitioners. These costs relate to the cost of the exam </w:t>
      </w:r>
      <w:r w:rsidR="004F324C">
        <w:rPr>
          <w:rFonts w:ascii="Arial" w:eastAsia="Cambria" w:hAnsi="Arial" w:cs="Arial"/>
          <w:sz w:val="20"/>
          <w:szCs w:val="20"/>
        </w:rPr>
        <w:t>infrastructure</w:t>
      </w:r>
      <w:r w:rsidR="003A68A6" w:rsidRPr="00E53EAF">
        <w:rPr>
          <w:rFonts w:ascii="Arial" w:eastAsia="Cambria" w:hAnsi="Arial" w:cs="Arial"/>
          <w:sz w:val="20"/>
          <w:szCs w:val="20"/>
        </w:rPr>
        <w:t xml:space="preserve"> and will be </w:t>
      </w:r>
      <w:r w:rsidR="000232A8" w:rsidRPr="00E53EAF">
        <w:rPr>
          <w:rFonts w:ascii="Arial" w:eastAsia="Cambria" w:hAnsi="Arial" w:cs="Arial"/>
          <w:sz w:val="20"/>
          <w:szCs w:val="20"/>
        </w:rPr>
        <w:t>part</w:t>
      </w:r>
      <w:r w:rsidR="0020379D">
        <w:rPr>
          <w:rFonts w:ascii="Arial" w:eastAsia="Cambria" w:hAnsi="Arial" w:cs="Arial"/>
          <w:sz w:val="20"/>
          <w:szCs w:val="20"/>
        </w:rPr>
        <w:t>ly</w:t>
      </w:r>
      <w:r w:rsidR="000232A8" w:rsidRPr="00E53EAF">
        <w:rPr>
          <w:rFonts w:ascii="Arial" w:eastAsia="Cambria" w:hAnsi="Arial" w:cs="Arial"/>
          <w:sz w:val="20"/>
          <w:szCs w:val="20"/>
        </w:rPr>
        <w:t xml:space="preserve"> subsidi</w:t>
      </w:r>
      <w:r w:rsidR="00181F1F">
        <w:rPr>
          <w:rFonts w:ascii="Arial" w:eastAsia="Cambria" w:hAnsi="Arial" w:cs="Arial"/>
          <w:sz w:val="20"/>
          <w:szCs w:val="20"/>
        </w:rPr>
        <w:t>s</w:t>
      </w:r>
      <w:r w:rsidR="000232A8" w:rsidRPr="00E53EAF">
        <w:rPr>
          <w:rFonts w:ascii="Arial" w:eastAsia="Cambria" w:hAnsi="Arial" w:cs="Arial"/>
          <w:sz w:val="20"/>
          <w:szCs w:val="20"/>
        </w:rPr>
        <w:t>ed by the Board.</w:t>
      </w:r>
    </w:p>
    <w:p w:rsidR="000232A8" w:rsidRPr="00E53EAF" w:rsidRDefault="000232A8" w:rsidP="0020379D">
      <w:pPr>
        <w:spacing w:before="120" w:after="0" w:line="240" w:lineRule="auto"/>
        <w:ind w:left="284"/>
        <w:outlineLvl w:val="0"/>
        <w:rPr>
          <w:rFonts w:ascii="Arial" w:eastAsia="Cambria" w:hAnsi="Arial" w:cs="Arial"/>
          <w:sz w:val="20"/>
          <w:szCs w:val="20"/>
        </w:rPr>
      </w:pPr>
    </w:p>
    <w:p w:rsidR="00156FC5" w:rsidRPr="00E53EAF" w:rsidRDefault="00156FC5" w:rsidP="009D19A9">
      <w:pPr>
        <w:numPr>
          <w:ilvl w:val="0"/>
          <w:numId w:val="3"/>
        </w:numPr>
        <w:spacing w:after="200" w:line="240" w:lineRule="auto"/>
        <w:ind w:left="284" w:hanging="284"/>
        <w:rPr>
          <w:rFonts w:ascii="Arial" w:eastAsia="Cambria" w:hAnsi="Arial" w:cs="Arial"/>
          <w:b/>
          <w:color w:val="007DC3"/>
          <w:sz w:val="20"/>
          <w:szCs w:val="24"/>
        </w:rPr>
      </w:pPr>
      <w:r w:rsidRPr="00E53EAF">
        <w:rPr>
          <w:rFonts w:ascii="Arial" w:eastAsia="Cambria" w:hAnsi="Arial" w:cs="Arial"/>
          <w:b/>
          <w:color w:val="007DC3"/>
          <w:sz w:val="20"/>
          <w:szCs w:val="24"/>
        </w:rPr>
        <w:t xml:space="preserve">Whether the requirements are clearly stated using ‘plain language’ to reduce uncertainty, enable the public to understand the requirements, and enable understanding and compliance by registrants   </w:t>
      </w:r>
    </w:p>
    <w:p w:rsidR="00156FC5" w:rsidRPr="00E53EAF" w:rsidRDefault="00156FC5" w:rsidP="0020379D">
      <w:pPr>
        <w:spacing w:before="120" w:after="120" w:line="240" w:lineRule="auto"/>
        <w:ind w:left="284"/>
        <w:outlineLvl w:val="0"/>
        <w:rPr>
          <w:rFonts w:ascii="Arial" w:eastAsia="Cambria" w:hAnsi="Arial" w:cs="Arial"/>
          <w:b/>
          <w:sz w:val="20"/>
          <w:szCs w:val="20"/>
        </w:rPr>
      </w:pPr>
      <w:bookmarkStart w:id="71" w:name="_Toc354073168"/>
      <w:bookmarkStart w:id="72" w:name="_Toc403318460"/>
      <w:r w:rsidRPr="00E53EAF">
        <w:rPr>
          <w:rFonts w:ascii="Arial" w:eastAsia="Cambria" w:hAnsi="Arial" w:cs="Arial"/>
          <w:b/>
          <w:sz w:val="20"/>
          <w:szCs w:val="20"/>
        </w:rPr>
        <w:t>Board assessment</w:t>
      </w:r>
      <w:bookmarkEnd w:id="71"/>
      <w:bookmarkEnd w:id="72"/>
    </w:p>
    <w:p w:rsidR="00156FC5" w:rsidRDefault="00156FC5" w:rsidP="0020379D">
      <w:pPr>
        <w:spacing w:before="120" w:after="120" w:line="240" w:lineRule="auto"/>
        <w:ind w:left="284"/>
        <w:rPr>
          <w:rFonts w:ascii="Arial" w:eastAsia="Calibri" w:hAnsi="Arial" w:cs="Arial"/>
          <w:sz w:val="20"/>
          <w:szCs w:val="20"/>
        </w:rPr>
      </w:pPr>
      <w:r w:rsidRPr="00E53EAF">
        <w:rPr>
          <w:rFonts w:ascii="Arial" w:eastAsia="Calibri" w:hAnsi="Arial" w:cs="Arial"/>
          <w:sz w:val="20"/>
          <w:szCs w:val="20"/>
        </w:rPr>
        <w:t xml:space="preserve">The Board considers the draft </w:t>
      </w:r>
      <w:r w:rsidR="000232A8" w:rsidRPr="00E53EAF">
        <w:rPr>
          <w:rFonts w:ascii="Arial" w:eastAsia="Calibri" w:hAnsi="Arial" w:cs="Arial"/>
          <w:sz w:val="20"/>
          <w:szCs w:val="20"/>
        </w:rPr>
        <w:t>guidelines have</w:t>
      </w:r>
      <w:r w:rsidRPr="00E53EAF">
        <w:rPr>
          <w:rFonts w:ascii="Arial" w:eastAsia="Calibri" w:hAnsi="Arial" w:cs="Arial"/>
          <w:sz w:val="20"/>
          <w:szCs w:val="20"/>
        </w:rPr>
        <w:t xml:space="preserve"> been written in plain English that will help practitioners to understand the </w:t>
      </w:r>
      <w:r w:rsidR="000232A8" w:rsidRPr="00E53EAF">
        <w:rPr>
          <w:rFonts w:ascii="Arial" w:eastAsia="Calibri" w:hAnsi="Arial" w:cs="Arial"/>
          <w:sz w:val="20"/>
          <w:szCs w:val="20"/>
        </w:rPr>
        <w:t>guidelines</w:t>
      </w:r>
      <w:r w:rsidRPr="00E53EAF">
        <w:rPr>
          <w:rFonts w:ascii="Arial" w:eastAsia="Calibri" w:hAnsi="Arial" w:cs="Arial"/>
          <w:sz w:val="20"/>
          <w:szCs w:val="20"/>
        </w:rPr>
        <w:t xml:space="preserve">. The Board has </w:t>
      </w:r>
      <w:r w:rsidR="000232A8" w:rsidRPr="00E53EAF">
        <w:rPr>
          <w:rFonts w:ascii="Arial" w:eastAsia="Calibri" w:hAnsi="Arial" w:cs="Arial"/>
          <w:sz w:val="20"/>
          <w:szCs w:val="20"/>
        </w:rPr>
        <w:t>modified</w:t>
      </w:r>
      <w:r w:rsidRPr="00E53EAF">
        <w:rPr>
          <w:rFonts w:ascii="Arial" w:eastAsia="Calibri" w:hAnsi="Arial" w:cs="Arial"/>
          <w:sz w:val="20"/>
          <w:szCs w:val="20"/>
        </w:rPr>
        <w:t xml:space="preserve"> the structure of the </w:t>
      </w:r>
      <w:r w:rsidR="000232A8" w:rsidRPr="00E53EAF">
        <w:rPr>
          <w:rFonts w:ascii="Arial" w:eastAsia="Calibri" w:hAnsi="Arial" w:cs="Arial"/>
          <w:sz w:val="20"/>
          <w:szCs w:val="20"/>
        </w:rPr>
        <w:t>guidelines</w:t>
      </w:r>
      <w:r w:rsidRPr="00E53EAF">
        <w:rPr>
          <w:rFonts w:ascii="Arial" w:eastAsia="Calibri" w:hAnsi="Arial" w:cs="Arial"/>
          <w:sz w:val="20"/>
          <w:szCs w:val="20"/>
        </w:rPr>
        <w:t xml:space="preserve"> and reviewed the wording to make the </w:t>
      </w:r>
      <w:r w:rsidR="000232A8" w:rsidRPr="00E53EAF">
        <w:rPr>
          <w:rFonts w:ascii="Arial" w:eastAsia="Calibri" w:hAnsi="Arial" w:cs="Arial"/>
          <w:sz w:val="20"/>
          <w:szCs w:val="20"/>
        </w:rPr>
        <w:t>guidelines</w:t>
      </w:r>
      <w:r w:rsidRPr="00E53EAF">
        <w:rPr>
          <w:rFonts w:ascii="Arial" w:eastAsia="Calibri" w:hAnsi="Arial" w:cs="Arial"/>
          <w:sz w:val="20"/>
          <w:szCs w:val="20"/>
        </w:rPr>
        <w:t xml:space="preserve"> easier to understand.</w:t>
      </w:r>
    </w:p>
    <w:p w:rsidR="0020379D" w:rsidRPr="00E53EAF" w:rsidRDefault="0020379D" w:rsidP="0020379D">
      <w:pPr>
        <w:spacing w:before="120" w:after="120" w:line="240" w:lineRule="auto"/>
        <w:ind w:left="284"/>
        <w:rPr>
          <w:rFonts w:ascii="Arial" w:eastAsia="Calibri" w:hAnsi="Arial" w:cs="Arial"/>
          <w:sz w:val="20"/>
          <w:szCs w:val="20"/>
        </w:rPr>
      </w:pPr>
    </w:p>
    <w:p w:rsidR="00156FC5" w:rsidRPr="00E53EAF" w:rsidRDefault="00156FC5" w:rsidP="009D19A9">
      <w:pPr>
        <w:numPr>
          <w:ilvl w:val="0"/>
          <w:numId w:val="3"/>
        </w:numPr>
        <w:spacing w:after="200" w:line="240" w:lineRule="auto"/>
        <w:ind w:left="284" w:hanging="284"/>
        <w:rPr>
          <w:rFonts w:ascii="Arial" w:eastAsia="Cambria" w:hAnsi="Arial" w:cs="Arial"/>
          <w:b/>
          <w:color w:val="007DC3"/>
          <w:sz w:val="20"/>
          <w:szCs w:val="24"/>
        </w:rPr>
      </w:pPr>
      <w:r w:rsidRPr="00E53EAF">
        <w:rPr>
          <w:rFonts w:ascii="Arial" w:eastAsia="Cambria" w:hAnsi="Arial" w:cs="Arial"/>
          <w:b/>
          <w:color w:val="007DC3"/>
          <w:sz w:val="20"/>
          <w:szCs w:val="24"/>
        </w:rPr>
        <w:lastRenderedPageBreak/>
        <w:t xml:space="preserve">Whether the Board has procedures in place to ensure that the proposed registration standard, code or guideline remains relevant and effective over time </w:t>
      </w:r>
    </w:p>
    <w:p w:rsidR="00156FC5" w:rsidRPr="00E53EAF" w:rsidRDefault="00156FC5" w:rsidP="0020379D">
      <w:pPr>
        <w:spacing w:before="120" w:after="120" w:line="240" w:lineRule="auto"/>
        <w:ind w:left="284"/>
        <w:outlineLvl w:val="0"/>
        <w:rPr>
          <w:rFonts w:ascii="Arial" w:eastAsia="Cambria" w:hAnsi="Arial" w:cs="Arial"/>
          <w:b/>
          <w:sz w:val="20"/>
          <w:szCs w:val="20"/>
        </w:rPr>
      </w:pPr>
      <w:bookmarkStart w:id="73" w:name="_Toc354073169"/>
      <w:bookmarkStart w:id="74" w:name="_Toc403318461"/>
      <w:r w:rsidRPr="00E53EAF">
        <w:rPr>
          <w:rFonts w:ascii="Arial" w:eastAsia="Cambria" w:hAnsi="Arial" w:cs="Arial"/>
          <w:b/>
          <w:sz w:val="20"/>
          <w:szCs w:val="20"/>
        </w:rPr>
        <w:t>Board assessment</w:t>
      </w:r>
      <w:bookmarkEnd w:id="73"/>
      <w:bookmarkEnd w:id="74"/>
    </w:p>
    <w:p w:rsidR="00156FC5" w:rsidRPr="00E53EAF" w:rsidRDefault="000232A8" w:rsidP="0020379D">
      <w:pPr>
        <w:spacing w:before="120" w:after="120" w:line="240" w:lineRule="auto"/>
        <w:ind w:left="284"/>
        <w:rPr>
          <w:rFonts w:ascii="Arial" w:eastAsia="Calibri" w:hAnsi="Arial" w:cs="Arial"/>
          <w:sz w:val="20"/>
          <w:szCs w:val="20"/>
        </w:rPr>
      </w:pPr>
      <w:r w:rsidRPr="00E53EAF">
        <w:rPr>
          <w:rFonts w:ascii="Arial" w:eastAsia="Calibri" w:hAnsi="Arial" w:cs="Arial"/>
          <w:sz w:val="20"/>
          <w:szCs w:val="20"/>
        </w:rPr>
        <w:t>The</w:t>
      </w:r>
      <w:r w:rsidR="00156FC5" w:rsidRPr="00E53EAF">
        <w:rPr>
          <w:rFonts w:ascii="Arial" w:eastAsia="Calibri" w:hAnsi="Arial" w:cs="Arial"/>
          <w:sz w:val="20"/>
          <w:szCs w:val="20"/>
        </w:rPr>
        <w:t xml:space="preserve"> Board </w:t>
      </w:r>
      <w:r w:rsidRPr="00E53EAF">
        <w:rPr>
          <w:rFonts w:ascii="Arial" w:eastAsia="Calibri" w:hAnsi="Arial" w:cs="Arial"/>
          <w:sz w:val="20"/>
          <w:szCs w:val="20"/>
        </w:rPr>
        <w:t>pro</w:t>
      </w:r>
      <w:r w:rsidR="0020379D">
        <w:rPr>
          <w:rFonts w:ascii="Arial" w:eastAsia="Calibri" w:hAnsi="Arial" w:cs="Arial"/>
          <w:sz w:val="20"/>
          <w:szCs w:val="20"/>
        </w:rPr>
        <w:t xml:space="preserve">poses to review the guidelines </w:t>
      </w:r>
      <w:r w:rsidRPr="00E53EAF">
        <w:rPr>
          <w:rFonts w:ascii="Arial" w:eastAsia="Calibri" w:hAnsi="Arial" w:cs="Arial"/>
          <w:sz w:val="20"/>
          <w:szCs w:val="20"/>
        </w:rPr>
        <w:t xml:space="preserve">after three years </w:t>
      </w:r>
      <w:r w:rsidR="0020379D">
        <w:rPr>
          <w:rFonts w:ascii="Arial" w:eastAsia="Calibri" w:hAnsi="Arial" w:cs="Arial"/>
          <w:sz w:val="20"/>
          <w:szCs w:val="20"/>
        </w:rPr>
        <w:t xml:space="preserve">of operation </w:t>
      </w:r>
      <w:r w:rsidRPr="00E53EAF">
        <w:rPr>
          <w:rFonts w:ascii="Arial" w:eastAsia="Calibri" w:hAnsi="Arial" w:cs="Arial"/>
          <w:sz w:val="20"/>
          <w:szCs w:val="20"/>
        </w:rPr>
        <w:t>which will include</w:t>
      </w:r>
      <w:r w:rsidR="00156FC5" w:rsidRPr="00E53EAF">
        <w:rPr>
          <w:rFonts w:ascii="Arial" w:eastAsia="Calibri" w:hAnsi="Arial" w:cs="Arial"/>
          <w:sz w:val="20"/>
          <w:szCs w:val="20"/>
        </w:rPr>
        <w:t xml:space="preserve"> an assessment against the objectives and guiding principles in the National Law and the COAG principles for best practice regulation.   </w:t>
      </w:r>
    </w:p>
    <w:p w:rsidR="00156FC5" w:rsidRPr="00E53EAF" w:rsidRDefault="00156FC5" w:rsidP="0020379D">
      <w:pPr>
        <w:spacing w:before="120" w:after="120" w:line="240" w:lineRule="auto"/>
        <w:ind w:left="284"/>
        <w:rPr>
          <w:rFonts w:ascii="Arial" w:eastAsia="Calibri" w:hAnsi="Arial" w:cs="Arial"/>
          <w:sz w:val="20"/>
          <w:szCs w:val="20"/>
        </w:rPr>
      </w:pPr>
      <w:r w:rsidRPr="00E53EAF">
        <w:rPr>
          <w:rFonts w:ascii="Arial" w:eastAsia="Calibri" w:hAnsi="Arial" w:cs="Arial"/>
          <w:sz w:val="20"/>
          <w:szCs w:val="20"/>
        </w:rPr>
        <w:t xml:space="preserve">However, the Board may choose to review the standard earlier, if it is necessary to ensure the </w:t>
      </w:r>
      <w:r w:rsidR="000232A8" w:rsidRPr="00E53EAF">
        <w:rPr>
          <w:rFonts w:ascii="Arial" w:eastAsia="Calibri" w:hAnsi="Arial" w:cs="Arial"/>
          <w:sz w:val="20"/>
          <w:szCs w:val="20"/>
        </w:rPr>
        <w:t>guideline</w:t>
      </w:r>
      <w:r w:rsidRPr="00E53EAF">
        <w:rPr>
          <w:rFonts w:ascii="Arial" w:eastAsia="Calibri" w:hAnsi="Arial" w:cs="Arial"/>
          <w:sz w:val="20"/>
          <w:szCs w:val="20"/>
        </w:rPr>
        <w:t>s contin</w:t>
      </w:r>
      <w:r w:rsidR="000232A8" w:rsidRPr="00E53EAF">
        <w:rPr>
          <w:rFonts w:ascii="Arial" w:eastAsia="Calibri" w:hAnsi="Arial" w:cs="Arial"/>
          <w:sz w:val="20"/>
          <w:szCs w:val="20"/>
        </w:rPr>
        <w:t>ued relevance and workability.</w:t>
      </w:r>
    </w:p>
    <w:p w:rsidR="00E10369" w:rsidRPr="00E53EAF" w:rsidRDefault="00E10369" w:rsidP="00E10369">
      <w:pPr>
        <w:pStyle w:val="AHPRAHeadline"/>
      </w:pPr>
    </w:p>
    <w:sectPr w:rsidR="00E10369" w:rsidRPr="00E53EAF" w:rsidSect="0020379D">
      <w:headerReference w:type="default" r:id="rId35"/>
      <w:pgSz w:w="11900" w:h="16840"/>
      <w:pgMar w:top="1392" w:right="1247" w:bottom="992" w:left="1134" w:header="284" w:footer="68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6A6" w:rsidRDefault="007A76A6">
      <w:pPr>
        <w:spacing w:after="0" w:line="240" w:lineRule="auto"/>
      </w:pPr>
      <w:r>
        <w:separator/>
      </w:r>
    </w:p>
    <w:p w:rsidR="007A76A6" w:rsidRDefault="007A76A6"/>
  </w:endnote>
  <w:endnote w:type="continuationSeparator" w:id="0">
    <w:p w:rsidR="007A76A6" w:rsidRDefault="007A76A6">
      <w:pPr>
        <w:spacing w:after="0" w:line="240" w:lineRule="auto"/>
      </w:pPr>
      <w:r>
        <w:continuationSeparator/>
      </w:r>
    </w:p>
    <w:p w:rsidR="007A76A6" w:rsidRDefault="007A76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MT Lt">
    <w:panose1 w:val="00000000000000000000"/>
    <w:charset w:val="4D"/>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A6" w:rsidRPr="00F1276D" w:rsidRDefault="007A76A6" w:rsidP="00921C57">
    <w:pPr>
      <w:spacing w:before="120"/>
      <w:jc w:val="center"/>
      <w:rPr>
        <w:rFonts w:ascii="Arial" w:hAnsi="Arial" w:cs="Arial"/>
        <w:b/>
        <w:color w:val="5F5E62"/>
        <w:sz w:val="18"/>
        <w:szCs w:val="20"/>
      </w:rPr>
    </w:pPr>
    <w:r w:rsidRPr="00F1276D">
      <w:rPr>
        <w:rFonts w:ascii="Arial" w:hAnsi="Arial" w:cs="Arial"/>
        <w:b/>
        <w:color w:val="008EC4"/>
        <w:sz w:val="18"/>
        <w:szCs w:val="20"/>
      </w:rPr>
      <w:t xml:space="preserve">Medical Radiation Practice </w:t>
    </w:r>
    <w:r w:rsidRPr="00F1276D">
      <w:rPr>
        <w:rFonts w:ascii="Arial" w:hAnsi="Arial" w:cs="Arial"/>
        <w:b/>
        <w:color w:val="5F5E62"/>
        <w:sz w:val="18"/>
        <w:szCs w:val="20"/>
      </w:rPr>
      <w:t>Board of Australia</w:t>
    </w:r>
  </w:p>
  <w:p w:rsidR="007A76A6" w:rsidRPr="00F1276D" w:rsidRDefault="007A76A6" w:rsidP="00921C57">
    <w:pPr>
      <w:ind w:left="720" w:firstLine="720"/>
      <w:jc w:val="center"/>
      <w:rPr>
        <w:rFonts w:ascii="Arial" w:hAnsi="Arial" w:cs="Arial"/>
        <w:color w:val="5F5E62"/>
        <w:sz w:val="18"/>
        <w:szCs w:val="20"/>
      </w:rPr>
    </w:pPr>
    <w:r>
      <w:rPr>
        <w:rFonts w:ascii="Arial" w:hAnsi="Arial" w:cs="Arial"/>
        <w:color w:val="5F5E62"/>
        <w:sz w:val="18"/>
        <w:szCs w:val="20"/>
      </w:rPr>
      <w:t xml:space="preserve">  Public Consultation</w:t>
    </w:r>
    <w:r w:rsidRPr="00F1276D">
      <w:rPr>
        <w:rFonts w:ascii="Arial" w:hAnsi="Arial" w:cs="Arial"/>
        <w:color w:val="5F5E62"/>
        <w:sz w:val="18"/>
        <w:szCs w:val="20"/>
      </w:rPr>
      <w:t xml:space="preserve">   </w:t>
    </w:r>
    <w:r w:rsidRPr="00F1276D">
      <w:rPr>
        <w:rFonts w:ascii="Arial" w:hAnsi="Arial" w:cs="Arial"/>
        <w:b/>
        <w:color w:val="007DC3"/>
        <w:sz w:val="18"/>
        <w:szCs w:val="28"/>
      </w:rPr>
      <w:t>|</w:t>
    </w:r>
    <w:r>
      <w:rPr>
        <w:rFonts w:ascii="Arial" w:hAnsi="Arial" w:cs="Arial"/>
        <w:color w:val="5F5E62"/>
        <w:sz w:val="18"/>
        <w:szCs w:val="20"/>
      </w:rPr>
      <w:t xml:space="preserve">   August 2015</w:t>
    </w:r>
    <w:r w:rsidRPr="00F1276D">
      <w:rPr>
        <w:rFonts w:ascii="Arial" w:hAnsi="Arial" w:cs="Arial"/>
        <w:color w:val="5F5E62"/>
        <w:sz w:val="18"/>
        <w:szCs w:val="20"/>
      </w:rPr>
      <w:t xml:space="preserve"> </w:t>
    </w:r>
    <w:r w:rsidRPr="00F1276D">
      <w:rPr>
        <w:rFonts w:ascii="Arial" w:hAnsi="Arial" w:cs="Arial"/>
        <w:b/>
        <w:color w:val="007DC3"/>
        <w:sz w:val="18"/>
        <w:szCs w:val="28"/>
      </w:rPr>
      <w:t>|</w:t>
    </w:r>
    <w:r w:rsidRPr="00F1276D">
      <w:rPr>
        <w:rFonts w:ascii="Arial" w:hAnsi="Arial" w:cs="Arial"/>
        <w:color w:val="5F5E62"/>
        <w:sz w:val="18"/>
        <w:szCs w:val="20"/>
      </w:rPr>
      <w:t xml:space="preserve">   IN CONFIDENCE</w:t>
    </w:r>
    <w:r>
      <w:rPr>
        <w:rFonts w:ascii="Arial" w:hAnsi="Arial" w:cs="Arial"/>
        <w:color w:val="5F5E62"/>
        <w:sz w:val="18"/>
        <w:szCs w:val="20"/>
      </w:rPr>
      <w:tab/>
      <w:t xml:space="preserve">  </w:t>
    </w:r>
    <w:r>
      <w:rPr>
        <w:rFonts w:ascii="Arial" w:hAnsi="Arial" w:cs="Arial"/>
        <w:color w:val="5F5E62"/>
        <w:sz w:val="18"/>
        <w:szCs w:val="20"/>
      </w:rPr>
      <w:tab/>
      <w:t xml:space="preserve"> </w:t>
    </w:r>
    <w:r w:rsidR="00954475" w:rsidRPr="00F1276D">
      <w:rPr>
        <w:rFonts w:ascii="Arial" w:hAnsi="Arial" w:cs="Arial"/>
        <w:color w:val="5F5E62"/>
        <w:sz w:val="18"/>
        <w:szCs w:val="20"/>
      </w:rPr>
      <w:fldChar w:fldCharType="begin"/>
    </w:r>
    <w:r w:rsidRPr="00F1276D">
      <w:rPr>
        <w:rFonts w:ascii="Arial" w:hAnsi="Arial" w:cs="Arial"/>
        <w:color w:val="5F5E62"/>
        <w:sz w:val="18"/>
        <w:szCs w:val="20"/>
      </w:rPr>
      <w:instrText xml:space="preserve"> PAGE </w:instrText>
    </w:r>
    <w:r w:rsidR="00954475" w:rsidRPr="00F1276D">
      <w:rPr>
        <w:rFonts w:ascii="Arial" w:hAnsi="Arial" w:cs="Arial"/>
        <w:color w:val="5F5E62"/>
        <w:sz w:val="18"/>
        <w:szCs w:val="20"/>
      </w:rPr>
      <w:fldChar w:fldCharType="separate"/>
    </w:r>
    <w:r w:rsidR="0022351C">
      <w:rPr>
        <w:rFonts w:ascii="Arial" w:hAnsi="Arial" w:cs="Arial"/>
        <w:noProof/>
        <w:color w:val="5F5E62"/>
        <w:sz w:val="18"/>
        <w:szCs w:val="20"/>
      </w:rPr>
      <w:t>2</w:t>
    </w:r>
    <w:r w:rsidR="00954475" w:rsidRPr="00F1276D">
      <w:rPr>
        <w:rFonts w:ascii="Arial" w:hAnsi="Arial" w:cs="Arial"/>
        <w:color w:val="5F5E62"/>
        <w:sz w:val="18"/>
        <w:szCs w:val="20"/>
      </w:rPr>
      <w:fldChar w:fldCharType="end"/>
    </w:r>
    <w:r w:rsidRPr="00F1276D">
      <w:rPr>
        <w:rFonts w:ascii="Arial" w:hAnsi="Arial" w:cs="Arial"/>
        <w:color w:val="5F5E62"/>
        <w:sz w:val="18"/>
        <w:szCs w:val="20"/>
      </w:rPr>
      <w:t xml:space="preserve"> of </w:t>
    </w:r>
    <w:r w:rsidR="00954475" w:rsidRPr="00F1276D">
      <w:rPr>
        <w:rFonts w:ascii="Arial" w:hAnsi="Arial" w:cs="Arial"/>
        <w:color w:val="5F5E62"/>
        <w:sz w:val="18"/>
        <w:szCs w:val="20"/>
      </w:rPr>
      <w:fldChar w:fldCharType="begin"/>
    </w:r>
    <w:r w:rsidRPr="00F1276D">
      <w:rPr>
        <w:rFonts w:ascii="Arial" w:hAnsi="Arial" w:cs="Arial"/>
        <w:color w:val="5F5E62"/>
        <w:sz w:val="18"/>
        <w:szCs w:val="20"/>
      </w:rPr>
      <w:instrText xml:space="preserve"> NUMPAGES  </w:instrText>
    </w:r>
    <w:r w:rsidR="00954475" w:rsidRPr="00F1276D">
      <w:rPr>
        <w:rFonts w:ascii="Arial" w:hAnsi="Arial" w:cs="Arial"/>
        <w:color w:val="5F5E62"/>
        <w:sz w:val="18"/>
        <w:szCs w:val="20"/>
      </w:rPr>
      <w:fldChar w:fldCharType="separate"/>
    </w:r>
    <w:r w:rsidR="0022351C">
      <w:rPr>
        <w:rFonts w:ascii="Arial" w:hAnsi="Arial" w:cs="Arial"/>
        <w:noProof/>
        <w:color w:val="5F5E62"/>
        <w:sz w:val="18"/>
        <w:szCs w:val="20"/>
      </w:rPr>
      <w:t>16</w:t>
    </w:r>
    <w:r w:rsidR="00954475" w:rsidRPr="00F1276D">
      <w:rPr>
        <w:rFonts w:ascii="Arial" w:hAnsi="Arial" w:cs="Arial"/>
        <w:color w:val="5F5E62"/>
        <w:sz w:val="18"/>
        <w:szCs w:val="20"/>
      </w:rPr>
      <w:fldChar w:fldCharType="end"/>
    </w:r>
  </w:p>
  <w:p w:rsidR="007A76A6" w:rsidRDefault="007A76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A6" w:rsidRPr="00F1276D" w:rsidRDefault="007A76A6" w:rsidP="00921C57">
    <w:pPr>
      <w:spacing w:before="120"/>
      <w:jc w:val="center"/>
      <w:rPr>
        <w:rFonts w:ascii="Arial" w:hAnsi="Arial" w:cs="Arial"/>
        <w:b/>
        <w:color w:val="5F5E62"/>
        <w:sz w:val="18"/>
        <w:szCs w:val="20"/>
      </w:rPr>
    </w:pPr>
    <w:r w:rsidRPr="00145658">
      <w:rPr>
        <w:rFonts w:ascii="Arial" w:hAnsi="Arial" w:cs="Arial"/>
        <w:b/>
        <w:color w:val="007DC3"/>
        <w:sz w:val="18"/>
        <w:szCs w:val="20"/>
      </w:rPr>
      <w:t>Medical Radiation Practice</w:t>
    </w:r>
    <w:r w:rsidRPr="00F1276D">
      <w:rPr>
        <w:rFonts w:ascii="Arial" w:hAnsi="Arial" w:cs="Arial"/>
        <w:b/>
        <w:color w:val="008EC4"/>
        <w:sz w:val="18"/>
        <w:szCs w:val="20"/>
      </w:rPr>
      <w:t xml:space="preserve"> </w:t>
    </w:r>
    <w:r w:rsidRPr="00F1276D">
      <w:rPr>
        <w:rFonts w:ascii="Arial" w:hAnsi="Arial" w:cs="Arial"/>
        <w:b/>
        <w:color w:val="5F5E62"/>
        <w:sz w:val="18"/>
        <w:szCs w:val="20"/>
      </w:rPr>
      <w:t>Board of Australia</w:t>
    </w:r>
  </w:p>
  <w:p w:rsidR="007A76A6" w:rsidRPr="00B93981" w:rsidRDefault="007A76A6" w:rsidP="00B93981">
    <w:pPr>
      <w:ind w:left="1440" w:firstLine="720"/>
      <w:jc w:val="center"/>
      <w:rPr>
        <w:rFonts w:ascii="Arial" w:hAnsi="Arial" w:cs="Arial"/>
        <w:color w:val="5F5E62"/>
        <w:sz w:val="18"/>
        <w:szCs w:val="20"/>
      </w:rPr>
    </w:pPr>
    <w:r>
      <w:rPr>
        <w:rFonts w:ascii="Arial" w:hAnsi="Arial" w:cs="Arial"/>
        <w:color w:val="5F5E62"/>
        <w:sz w:val="18"/>
        <w:szCs w:val="20"/>
      </w:rPr>
      <w:t>Public Consultation</w:t>
    </w:r>
    <w:r w:rsidRPr="00F1276D">
      <w:rPr>
        <w:rFonts w:ascii="Arial" w:hAnsi="Arial" w:cs="Arial"/>
        <w:color w:val="5F5E62"/>
        <w:sz w:val="18"/>
        <w:szCs w:val="20"/>
      </w:rPr>
      <w:t xml:space="preserve">   </w:t>
    </w:r>
    <w:r w:rsidRPr="00F1276D">
      <w:rPr>
        <w:rFonts w:ascii="Arial" w:hAnsi="Arial" w:cs="Arial"/>
        <w:b/>
        <w:color w:val="007DC3"/>
        <w:sz w:val="18"/>
        <w:szCs w:val="28"/>
      </w:rPr>
      <w:t>|</w:t>
    </w:r>
    <w:r>
      <w:rPr>
        <w:rFonts w:ascii="Arial" w:hAnsi="Arial" w:cs="Arial"/>
        <w:color w:val="5F5E62"/>
        <w:sz w:val="18"/>
        <w:szCs w:val="20"/>
      </w:rPr>
      <w:t xml:space="preserve">  August 2015</w:t>
    </w:r>
    <w:r w:rsidRPr="00F1276D">
      <w:rPr>
        <w:rFonts w:ascii="Arial" w:hAnsi="Arial" w:cs="Arial"/>
        <w:color w:val="5F5E62"/>
        <w:sz w:val="18"/>
        <w:szCs w:val="20"/>
      </w:rPr>
      <w:t xml:space="preserve"> </w:t>
    </w:r>
    <w:r w:rsidRPr="00F1276D">
      <w:rPr>
        <w:rFonts w:ascii="Arial" w:hAnsi="Arial" w:cs="Arial"/>
        <w:b/>
        <w:color w:val="007DC3"/>
        <w:sz w:val="18"/>
        <w:szCs w:val="28"/>
      </w:rPr>
      <w:t>|</w:t>
    </w:r>
    <w:r w:rsidRPr="00F1276D">
      <w:rPr>
        <w:rFonts w:ascii="Arial" w:hAnsi="Arial" w:cs="Arial"/>
        <w:color w:val="5F5E62"/>
        <w:sz w:val="18"/>
        <w:szCs w:val="20"/>
      </w:rPr>
      <w:t xml:space="preserve">   IN CONFIDENCE</w:t>
    </w:r>
    <w:r>
      <w:rPr>
        <w:rFonts w:ascii="Arial" w:hAnsi="Arial" w:cs="Arial"/>
        <w:color w:val="5F5E62"/>
        <w:sz w:val="18"/>
        <w:szCs w:val="20"/>
      </w:rPr>
      <w:tab/>
      <w:t xml:space="preserve">  </w:t>
    </w:r>
    <w:r>
      <w:rPr>
        <w:rFonts w:ascii="Arial" w:hAnsi="Arial" w:cs="Arial"/>
        <w:color w:val="5F5E62"/>
        <w:sz w:val="18"/>
        <w:szCs w:val="20"/>
      </w:rPr>
      <w:tab/>
      <w:t xml:space="preserve"> </w:t>
    </w:r>
    <w:r w:rsidR="00954475" w:rsidRPr="00F1276D">
      <w:rPr>
        <w:rFonts w:ascii="Arial" w:hAnsi="Arial" w:cs="Arial"/>
        <w:color w:val="5F5E62"/>
        <w:sz w:val="18"/>
        <w:szCs w:val="20"/>
      </w:rPr>
      <w:fldChar w:fldCharType="begin"/>
    </w:r>
    <w:r w:rsidRPr="00F1276D">
      <w:rPr>
        <w:rFonts w:ascii="Arial" w:hAnsi="Arial" w:cs="Arial"/>
        <w:color w:val="5F5E62"/>
        <w:sz w:val="18"/>
        <w:szCs w:val="20"/>
      </w:rPr>
      <w:instrText xml:space="preserve"> PAGE </w:instrText>
    </w:r>
    <w:r w:rsidR="00954475" w:rsidRPr="00F1276D">
      <w:rPr>
        <w:rFonts w:ascii="Arial" w:hAnsi="Arial" w:cs="Arial"/>
        <w:color w:val="5F5E62"/>
        <w:sz w:val="18"/>
        <w:szCs w:val="20"/>
      </w:rPr>
      <w:fldChar w:fldCharType="separate"/>
    </w:r>
    <w:r w:rsidR="0022351C">
      <w:rPr>
        <w:rFonts w:ascii="Arial" w:hAnsi="Arial" w:cs="Arial"/>
        <w:noProof/>
        <w:color w:val="5F5E62"/>
        <w:sz w:val="18"/>
        <w:szCs w:val="20"/>
      </w:rPr>
      <w:t>3</w:t>
    </w:r>
    <w:r w:rsidR="00954475" w:rsidRPr="00F1276D">
      <w:rPr>
        <w:rFonts w:ascii="Arial" w:hAnsi="Arial" w:cs="Arial"/>
        <w:color w:val="5F5E62"/>
        <w:sz w:val="18"/>
        <w:szCs w:val="20"/>
      </w:rPr>
      <w:fldChar w:fldCharType="end"/>
    </w:r>
    <w:r w:rsidRPr="00F1276D">
      <w:rPr>
        <w:rFonts w:ascii="Arial" w:hAnsi="Arial" w:cs="Arial"/>
        <w:color w:val="5F5E62"/>
        <w:sz w:val="18"/>
        <w:szCs w:val="20"/>
      </w:rPr>
      <w:t xml:space="preserve"> of </w:t>
    </w:r>
    <w:r w:rsidR="00954475" w:rsidRPr="00F1276D">
      <w:rPr>
        <w:rFonts w:ascii="Arial" w:hAnsi="Arial" w:cs="Arial"/>
        <w:color w:val="5F5E62"/>
        <w:sz w:val="18"/>
        <w:szCs w:val="20"/>
      </w:rPr>
      <w:fldChar w:fldCharType="begin"/>
    </w:r>
    <w:r w:rsidRPr="00F1276D">
      <w:rPr>
        <w:rFonts w:ascii="Arial" w:hAnsi="Arial" w:cs="Arial"/>
        <w:color w:val="5F5E62"/>
        <w:sz w:val="18"/>
        <w:szCs w:val="20"/>
      </w:rPr>
      <w:instrText xml:space="preserve"> NUMPAGES  </w:instrText>
    </w:r>
    <w:r w:rsidR="00954475" w:rsidRPr="00F1276D">
      <w:rPr>
        <w:rFonts w:ascii="Arial" w:hAnsi="Arial" w:cs="Arial"/>
        <w:color w:val="5F5E62"/>
        <w:sz w:val="18"/>
        <w:szCs w:val="20"/>
      </w:rPr>
      <w:fldChar w:fldCharType="separate"/>
    </w:r>
    <w:r w:rsidR="0022351C">
      <w:rPr>
        <w:rFonts w:ascii="Arial" w:hAnsi="Arial" w:cs="Arial"/>
        <w:noProof/>
        <w:color w:val="5F5E62"/>
        <w:sz w:val="18"/>
        <w:szCs w:val="20"/>
      </w:rPr>
      <w:t>16</w:t>
    </w:r>
    <w:r w:rsidR="00954475" w:rsidRPr="00F1276D">
      <w:rPr>
        <w:rFonts w:ascii="Arial" w:hAnsi="Arial" w:cs="Arial"/>
        <w:color w:val="5F5E62"/>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6A6" w:rsidRDefault="007A76A6">
      <w:pPr>
        <w:spacing w:after="0" w:line="240" w:lineRule="auto"/>
      </w:pPr>
      <w:r>
        <w:separator/>
      </w:r>
    </w:p>
    <w:p w:rsidR="007A76A6" w:rsidRDefault="007A76A6"/>
  </w:footnote>
  <w:footnote w:type="continuationSeparator" w:id="0">
    <w:p w:rsidR="007A76A6" w:rsidRDefault="007A76A6">
      <w:pPr>
        <w:spacing w:after="0" w:line="240" w:lineRule="auto"/>
      </w:pPr>
      <w:r>
        <w:continuationSeparator/>
      </w:r>
    </w:p>
    <w:p w:rsidR="007A76A6" w:rsidRDefault="007A76A6"/>
  </w:footnote>
  <w:footnote w:id="1">
    <w:p w:rsidR="007A76A6" w:rsidRPr="00FF0EA7" w:rsidRDefault="007A76A6" w:rsidP="002A2431">
      <w:pPr>
        <w:pStyle w:val="FootnoteText"/>
        <w:tabs>
          <w:tab w:val="left" w:pos="142"/>
        </w:tabs>
        <w:ind w:left="142" w:hanging="142"/>
        <w:rPr>
          <w:rFonts w:ascii="Arial" w:hAnsi="Arial" w:cs="Arial"/>
          <w:sz w:val="16"/>
          <w:szCs w:val="16"/>
        </w:rPr>
      </w:pPr>
      <w:r w:rsidRPr="00FF0EA7">
        <w:rPr>
          <w:rStyle w:val="FootnoteReference"/>
          <w:rFonts w:cs="Arial"/>
          <w:sz w:val="22"/>
          <w:szCs w:val="22"/>
        </w:rPr>
        <w:footnoteRef/>
      </w:r>
      <w:r w:rsidRPr="00FF0EA7">
        <w:rPr>
          <w:rFonts w:ascii="Arial" w:hAnsi="Arial" w:cs="Arial"/>
          <w:sz w:val="22"/>
          <w:szCs w:val="22"/>
          <w:vertAlign w:val="superscript"/>
        </w:rPr>
        <w:t xml:space="preserve"> </w:t>
      </w:r>
      <w:r w:rsidRPr="00FF0EA7">
        <w:rPr>
          <w:rFonts w:ascii="Arial" w:hAnsi="Arial" w:cs="Arial"/>
          <w:sz w:val="16"/>
          <w:szCs w:val="16"/>
        </w:rPr>
        <w:t>For general registration see s</w:t>
      </w:r>
      <w:r>
        <w:rPr>
          <w:rFonts w:ascii="Arial" w:hAnsi="Arial" w:cs="Arial"/>
          <w:sz w:val="16"/>
          <w:szCs w:val="16"/>
        </w:rPr>
        <w:t xml:space="preserve">ection </w:t>
      </w:r>
      <w:r w:rsidRPr="00FF0EA7">
        <w:rPr>
          <w:rFonts w:ascii="Arial" w:hAnsi="Arial" w:cs="Arial"/>
          <w:sz w:val="16"/>
          <w:szCs w:val="16"/>
        </w:rPr>
        <w:t>52(b)(b)(ii) of the National Law</w:t>
      </w:r>
    </w:p>
  </w:footnote>
  <w:footnote w:id="2">
    <w:p w:rsidR="007A76A6" w:rsidRPr="002A2431" w:rsidRDefault="007A76A6" w:rsidP="005C1927">
      <w:pPr>
        <w:pStyle w:val="FootnoteText"/>
        <w:tabs>
          <w:tab w:val="left" w:pos="142"/>
        </w:tabs>
        <w:ind w:left="142" w:hanging="142"/>
        <w:rPr>
          <w:rFonts w:ascii="Arial" w:hAnsi="Arial" w:cs="Arial"/>
          <w:sz w:val="16"/>
          <w:szCs w:val="16"/>
        </w:rPr>
      </w:pPr>
      <w:r w:rsidRPr="002A2431">
        <w:rPr>
          <w:rStyle w:val="FootnoteReference"/>
          <w:rFonts w:cs="Arial"/>
          <w:sz w:val="22"/>
          <w:szCs w:val="22"/>
        </w:rPr>
        <w:footnoteRef/>
      </w:r>
      <w:r w:rsidRPr="002A2431">
        <w:rPr>
          <w:rFonts w:ascii="Arial" w:hAnsi="Arial" w:cs="Arial"/>
          <w:sz w:val="22"/>
          <w:szCs w:val="22"/>
        </w:rPr>
        <w:t xml:space="preserve"> </w:t>
      </w:r>
      <w:r>
        <w:rPr>
          <w:rFonts w:ascii="Arial" w:hAnsi="Arial" w:cs="Arial"/>
          <w:sz w:val="16"/>
          <w:szCs w:val="16"/>
        </w:rPr>
        <w:tab/>
      </w:r>
      <w:r w:rsidRPr="002A2431">
        <w:rPr>
          <w:rFonts w:ascii="Arial" w:hAnsi="Arial" w:cs="Arial"/>
          <w:sz w:val="16"/>
          <w:szCs w:val="16"/>
        </w:rPr>
        <w:t xml:space="preserve">In order to be </w:t>
      </w:r>
      <w:r w:rsidRPr="00F36333">
        <w:rPr>
          <w:rFonts w:ascii="Arial" w:hAnsi="Arial" w:cs="Arial"/>
          <w:i/>
          <w:sz w:val="16"/>
          <w:szCs w:val="16"/>
        </w:rPr>
        <w:t>eligible</w:t>
      </w:r>
      <w:r w:rsidRPr="002A2431">
        <w:rPr>
          <w:rFonts w:ascii="Arial" w:hAnsi="Arial" w:cs="Arial"/>
          <w:sz w:val="16"/>
          <w:szCs w:val="16"/>
        </w:rPr>
        <w:t xml:space="preserve"> for provisional registration a practitioner must be </w:t>
      </w:r>
      <w:r w:rsidRPr="00F36333">
        <w:rPr>
          <w:rFonts w:ascii="Arial" w:hAnsi="Arial" w:cs="Arial"/>
          <w:i/>
          <w:sz w:val="16"/>
          <w:szCs w:val="16"/>
        </w:rPr>
        <w:t>qualified</w:t>
      </w:r>
      <w:r>
        <w:rPr>
          <w:rFonts w:ascii="Arial" w:hAnsi="Arial" w:cs="Arial"/>
          <w:i/>
          <w:sz w:val="16"/>
          <w:szCs w:val="16"/>
        </w:rPr>
        <w:t xml:space="preserve"> </w:t>
      </w:r>
      <w:r w:rsidRPr="002A2431">
        <w:rPr>
          <w:rFonts w:ascii="Arial" w:hAnsi="Arial" w:cs="Arial"/>
          <w:sz w:val="16"/>
          <w:szCs w:val="16"/>
        </w:rPr>
        <w:t>for general registration see</w:t>
      </w:r>
      <w:r>
        <w:rPr>
          <w:rFonts w:ascii="Arial" w:hAnsi="Arial" w:cs="Arial"/>
          <w:sz w:val="16"/>
          <w:szCs w:val="16"/>
        </w:rPr>
        <w:t xml:space="preserve"> </w:t>
      </w:r>
      <w:r w:rsidRPr="002A2431">
        <w:rPr>
          <w:rFonts w:ascii="Arial" w:hAnsi="Arial" w:cs="Arial"/>
          <w:sz w:val="16"/>
          <w:szCs w:val="16"/>
        </w:rPr>
        <w:t>s</w:t>
      </w:r>
      <w:r>
        <w:rPr>
          <w:rFonts w:ascii="Arial" w:hAnsi="Arial" w:cs="Arial"/>
          <w:sz w:val="16"/>
          <w:szCs w:val="16"/>
        </w:rPr>
        <w:t>ection</w:t>
      </w:r>
      <w:r w:rsidRPr="002A2431">
        <w:rPr>
          <w:rFonts w:ascii="Arial" w:hAnsi="Arial" w:cs="Arial"/>
          <w:sz w:val="16"/>
          <w:szCs w:val="16"/>
        </w:rPr>
        <w:t>.62(1)(a) of the National Law</w:t>
      </w:r>
    </w:p>
  </w:footnote>
  <w:footnote w:id="3">
    <w:p w:rsidR="007A76A6" w:rsidRPr="002034F4" w:rsidRDefault="007A76A6" w:rsidP="002034F4">
      <w:pPr>
        <w:pStyle w:val="FootnoteText"/>
        <w:tabs>
          <w:tab w:val="left" w:pos="142"/>
        </w:tabs>
        <w:ind w:left="142" w:hanging="142"/>
        <w:rPr>
          <w:rFonts w:ascii="Arial" w:hAnsi="Arial" w:cs="Arial"/>
          <w:sz w:val="16"/>
          <w:szCs w:val="16"/>
        </w:rPr>
      </w:pPr>
      <w:r w:rsidRPr="002034F4">
        <w:rPr>
          <w:rStyle w:val="FootnoteReference"/>
          <w:rFonts w:cs="Arial"/>
          <w:sz w:val="22"/>
          <w:szCs w:val="22"/>
        </w:rPr>
        <w:footnoteRef/>
      </w:r>
      <w:r>
        <w:rPr>
          <w:rFonts w:cs="Arial"/>
          <w:sz w:val="16"/>
          <w:szCs w:val="16"/>
        </w:rPr>
        <w:t xml:space="preserve"> </w:t>
      </w:r>
      <w:r w:rsidRPr="002034F4">
        <w:rPr>
          <w:rStyle w:val="FootnoteReference"/>
          <w:rFonts w:cs="Arial"/>
          <w:sz w:val="16"/>
          <w:szCs w:val="16"/>
          <w:vertAlign w:val="baseline"/>
        </w:rPr>
        <w:t>Section 3(2)(a) of the National Law – Objectives and guiding principles</w:t>
      </w:r>
    </w:p>
  </w:footnote>
  <w:footnote w:id="4">
    <w:p w:rsidR="007A76A6" w:rsidRPr="00EB019D" w:rsidRDefault="007A76A6">
      <w:pPr>
        <w:pStyle w:val="FootnoteText"/>
        <w:rPr>
          <w:rFonts w:ascii="Arial" w:hAnsi="Arial" w:cs="Arial"/>
          <w:sz w:val="16"/>
          <w:szCs w:val="16"/>
        </w:rPr>
      </w:pPr>
      <w:r w:rsidRPr="00EB019D">
        <w:rPr>
          <w:rStyle w:val="FootnoteReference"/>
          <w:rFonts w:cs="Arial"/>
          <w:sz w:val="20"/>
        </w:rPr>
        <w:footnoteRef/>
      </w:r>
      <w:r w:rsidRPr="00EB019D">
        <w:rPr>
          <w:rFonts w:ascii="Arial" w:hAnsi="Arial" w:cs="Arial"/>
          <w:sz w:val="16"/>
          <w:szCs w:val="16"/>
        </w:rPr>
        <w:t xml:space="preserve"> See section 53 of the National Law for a description of</w:t>
      </w:r>
      <w:r>
        <w:rPr>
          <w:rFonts w:ascii="Arial" w:hAnsi="Arial" w:cs="Arial"/>
          <w:sz w:val="16"/>
          <w:szCs w:val="16"/>
        </w:rPr>
        <w:t xml:space="preserve"> qualifications for general registration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A6" w:rsidRDefault="007A76A6" w:rsidP="00242F97">
    <w:pPr>
      <w:pStyle w:val="Header"/>
      <w:tabs>
        <w:tab w:val="clear" w:pos="4513"/>
        <w:tab w:val="clear" w:pos="9026"/>
        <w:tab w:val="left" w:pos="2793"/>
      </w:tabs>
      <w:jc w:val="righ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A6" w:rsidRDefault="007A76A6" w:rsidP="00094ED6">
    <w:pPr>
      <w:pStyle w:val="Header"/>
      <w:spacing w:after="360"/>
      <w:jc w:val="right"/>
    </w:pPr>
    <w:r>
      <w:rPr>
        <w:i/>
        <w:noProof/>
        <w:sz w:val="20"/>
        <w:szCs w:val="20"/>
        <w:lang w:eastAsia="en-AU"/>
      </w:rPr>
      <w:drawing>
        <wp:inline distT="0" distB="0" distL="0" distR="0">
          <wp:extent cx="1893537" cy="1176655"/>
          <wp:effectExtent l="0" t="0" r="0" b="0"/>
          <wp:docPr id="2" name="Picture 2" descr="Medical Radiation Prac;tice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554" cy="117853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A6" w:rsidRDefault="007A76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A6" w:rsidRDefault="007A76A6" w:rsidP="00F607E1">
    <w:pPr>
      <w:pStyle w:val="Header"/>
      <w:tabs>
        <w:tab w:val="clear" w:pos="4513"/>
        <w:tab w:val="clear" w:pos="9026"/>
        <w:tab w:val="left" w:pos="2793"/>
      </w:tabs>
    </w:pPr>
    <w:r>
      <w:tab/>
    </w:r>
  </w:p>
  <w:p w:rsidR="007A76A6" w:rsidRDefault="007A76A6">
    <w:pPr>
      <w:pStyle w:val="Header"/>
    </w:pPr>
  </w:p>
  <w:p w:rsidR="007A76A6" w:rsidRDefault="007A76A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A6" w:rsidRDefault="007A76A6" w:rsidP="00AE3FD1">
    <w:pPr>
      <w:pStyle w:val="Header"/>
      <w:spacing w:after="360"/>
      <w:jc w:val="right"/>
    </w:pPr>
    <w:r>
      <w:rPr>
        <w:i/>
        <w:noProof/>
        <w:sz w:val="20"/>
        <w:szCs w:val="20"/>
        <w:lang w:eastAsia="en-AU"/>
      </w:rPr>
      <w:drawing>
        <wp:inline distT="0" distB="0" distL="0" distR="0">
          <wp:extent cx="1893537" cy="11766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554" cy="1178530"/>
                  </a:xfrm>
                  <a:prstGeom prst="rect">
                    <a:avLst/>
                  </a:prstGeom>
                  <a:noFill/>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A6" w:rsidRDefault="0022351C" w:rsidP="00F607E1">
    <w:pPr>
      <w:pStyle w:val="Header"/>
      <w:tabs>
        <w:tab w:val="clear" w:pos="4513"/>
        <w:tab w:val="clear" w:pos="9026"/>
        <w:tab w:val="left" w:pos="2793"/>
      </w:tabs>
    </w:pPr>
    <w:r>
      <w:rPr>
        <w:noProof/>
        <w:lang w:eastAsia="en-AU"/>
      </w:rPr>
      <w:pict>
        <v:shapetype id="_x0000_t202" coordsize="21600,21600" o:spt="202" path="m,l,21600r21600,l21600,xe">
          <v:stroke joinstyle="miter"/>
          <v:path gradientshapeok="t" o:connecttype="rect"/>
        </v:shapetype>
        <v:shape id="WordArt 17" o:spid="_x0000_s4097" type="#_x0000_t202" style="position:absolute;margin-left:0;margin-top:0;width:454.5pt;height:8.3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" o:allowincell="f" filled="f" stroked="f">
          <v:stroke joinstyle="round"/>
          <o:lock v:ext="edit" shapetype="t"/>
          <v:textbox style="mso-fit-shape-to-text:t">
            <w:txbxContent>
              <w:p w:rsidR="007A76A6" w:rsidRDefault="007A76A6" w:rsidP="002F347E">
                <w:pPr>
                  <w:pStyle w:val="NormalWeb"/>
                  <w:spacing w:before="0" w:beforeAutospacing="0" w:after="0" w:afterAutospacing="0"/>
                  <w:jc w:val="center"/>
                </w:pPr>
                <w:r>
                  <w:rPr>
                    <w:rFonts w:ascii="Arial" w:hAnsi="Arial" w:cs="Arial"/>
                    <w:color w:val="3399FF"/>
                    <w:sz w:val="2"/>
                    <w:szCs w:val="2"/>
                  </w:rPr>
                  <w:t>DRAFT</w:t>
                </w:r>
              </w:p>
            </w:txbxContent>
          </v:textbox>
          <w10:wrap anchorx="margin" anchory="margin"/>
        </v:shape>
      </w:pict>
    </w:r>
    <w:r w:rsidR="007A76A6">
      <w:tab/>
    </w:r>
  </w:p>
  <w:p w:rsidR="007A76A6" w:rsidRDefault="007A76A6">
    <w:pPr>
      <w:pStyle w:val="Header"/>
    </w:pPr>
  </w:p>
  <w:p w:rsidR="007A76A6" w:rsidRDefault="007A76A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A6" w:rsidRDefault="007A76A6" w:rsidP="009539B3">
    <w:pPr>
      <w:pStyle w:val="Header"/>
      <w:tabs>
        <w:tab w:val="clear" w:pos="4513"/>
        <w:tab w:val="clear" w:pos="9026"/>
        <w:tab w:val="left" w:pos="2793"/>
      </w:tabs>
    </w:pPr>
    <w:r>
      <w:tab/>
    </w:r>
  </w:p>
  <w:p w:rsidR="007A76A6" w:rsidRDefault="007A76A6" w:rsidP="009539B3">
    <w:pPr>
      <w:pStyle w:val="Header"/>
      <w:jc w:val="right"/>
    </w:pPr>
  </w:p>
  <w:p w:rsidR="007A76A6" w:rsidRDefault="007A76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2B23"/>
    <w:multiLevelType w:val="hybridMultilevel"/>
    <w:tmpl w:val="9B1AC3D4"/>
    <w:lvl w:ilvl="0" w:tplc="22CE93FA">
      <w:start w:val="1"/>
      <w:numFmt w:val="decimal"/>
      <w:pStyle w:val="AHPRAbodyContextparanumbered"/>
      <w:lvlText w:val="%1."/>
      <w:lvlJc w:val="left"/>
      <w:pPr>
        <w:ind w:left="360" w:hanging="360"/>
      </w:pPr>
      <w:rPr>
        <w:rFonts w:ascii="Arial" w:hAnsi="Arial" w:cs="Times New Roman" w:hint="default"/>
        <w:b w:val="0"/>
        <w:i w:val="0"/>
        <w:color w:val="auto"/>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DD85756"/>
    <w:multiLevelType w:val="hybridMultilevel"/>
    <w:tmpl w:val="6E52D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9742C8"/>
    <w:multiLevelType w:val="multilevel"/>
    <w:tmpl w:val="C92E9812"/>
    <w:lvl w:ilvl="0">
      <w:start w:val="1"/>
      <w:numFmt w:val="lowerLetter"/>
      <w:lvlText w:val="(%1)"/>
      <w:lvlJc w:val="left"/>
      <w:pPr>
        <w:tabs>
          <w:tab w:val="num" w:pos="709"/>
        </w:tabs>
        <w:ind w:left="709" w:hanging="425"/>
      </w:pPr>
      <w:rPr>
        <w:b w:val="0"/>
        <w:i w:val="0"/>
        <w:sz w:val="20"/>
      </w:rPr>
    </w:lvl>
    <w:lvl w:ilvl="1">
      <w:start w:val="1"/>
      <w:numFmt w:val="lowerLetter"/>
      <w:lvlText w:val="(%2)"/>
      <w:lvlJc w:val="left"/>
      <w:pPr>
        <w:tabs>
          <w:tab w:val="num" w:pos="709"/>
        </w:tabs>
        <w:ind w:left="1135" w:hanging="426"/>
      </w:pPr>
      <w:rPr>
        <w:rFonts w:ascii="Arial" w:hAnsi="Arial" w:cs="Arial" w:hint="default"/>
        <w:b w:val="0"/>
        <w:i w:val="0"/>
        <w:sz w:val="20"/>
      </w:rPr>
    </w:lvl>
    <w:lvl w:ilvl="2">
      <w:start w:val="1"/>
      <w:numFmt w:val="lowerRoman"/>
      <w:lvlText w:val="(%3)"/>
      <w:lvlJc w:val="left"/>
      <w:pPr>
        <w:tabs>
          <w:tab w:val="num" w:pos="709"/>
        </w:tabs>
        <w:ind w:left="1560" w:hanging="425"/>
      </w:pPr>
      <w:rPr>
        <w:rFonts w:ascii="Palatino Linotype" w:hAnsi="Palatino Linotype" w:cs="Times New Roman" w:hint="default"/>
        <w:b w:val="0"/>
        <w:i w:val="0"/>
        <w:sz w:val="20"/>
      </w:rPr>
    </w:lvl>
    <w:lvl w:ilvl="3">
      <w:start w:val="1"/>
      <w:numFmt w:val="decimal"/>
      <w:lvlText w:val="(%4)"/>
      <w:lvlJc w:val="left"/>
      <w:pPr>
        <w:tabs>
          <w:tab w:val="num" w:pos="2007"/>
        </w:tabs>
        <w:ind w:left="2007" w:hanging="360"/>
      </w:pPr>
      <w:rPr>
        <w:rFonts w:cs="Times New Roman"/>
      </w:rPr>
    </w:lvl>
    <w:lvl w:ilvl="4">
      <w:start w:val="1"/>
      <w:numFmt w:val="lowerLetter"/>
      <w:lvlText w:val="(%5)"/>
      <w:lvlJc w:val="left"/>
      <w:pPr>
        <w:tabs>
          <w:tab w:val="num" w:pos="2367"/>
        </w:tabs>
        <w:ind w:left="2367" w:hanging="360"/>
      </w:pPr>
      <w:rPr>
        <w:rFonts w:cs="Times New Roman"/>
      </w:rPr>
    </w:lvl>
    <w:lvl w:ilvl="5">
      <w:start w:val="1"/>
      <w:numFmt w:val="lowerRoman"/>
      <w:lvlText w:val="(%6)"/>
      <w:lvlJc w:val="left"/>
      <w:pPr>
        <w:tabs>
          <w:tab w:val="num" w:pos="2727"/>
        </w:tabs>
        <w:ind w:left="2727" w:hanging="360"/>
      </w:pPr>
      <w:rPr>
        <w:rFonts w:cs="Times New Roman"/>
      </w:rPr>
    </w:lvl>
    <w:lvl w:ilvl="6">
      <w:start w:val="1"/>
      <w:numFmt w:val="decimal"/>
      <w:lvlText w:val="%7."/>
      <w:lvlJc w:val="left"/>
      <w:pPr>
        <w:tabs>
          <w:tab w:val="num" w:pos="3087"/>
        </w:tabs>
        <w:ind w:left="3087" w:hanging="360"/>
      </w:pPr>
      <w:rPr>
        <w:rFonts w:cs="Times New Roman"/>
      </w:rPr>
    </w:lvl>
    <w:lvl w:ilvl="7">
      <w:start w:val="1"/>
      <w:numFmt w:val="lowerLetter"/>
      <w:lvlText w:val="%8."/>
      <w:lvlJc w:val="left"/>
      <w:pPr>
        <w:tabs>
          <w:tab w:val="num" w:pos="3447"/>
        </w:tabs>
        <w:ind w:left="3447" w:hanging="360"/>
      </w:pPr>
      <w:rPr>
        <w:rFonts w:cs="Times New Roman"/>
      </w:rPr>
    </w:lvl>
    <w:lvl w:ilvl="8">
      <w:start w:val="1"/>
      <w:numFmt w:val="lowerRoman"/>
      <w:lvlText w:val="%9."/>
      <w:lvlJc w:val="left"/>
      <w:pPr>
        <w:tabs>
          <w:tab w:val="num" w:pos="3807"/>
        </w:tabs>
        <w:ind w:left="3807" w:hanging="360"/>
      </w:pPr>
      <w:rPr>
        <w:rFonts w:cs="Times New Roman"/>
      </w:rPr>
    </w:lvl>
  </w:abstractNum>
  <w:abstractNum w:abstractNumId="3" w15:restartNumberingAfterBreak="0">
    <w:nsid w:val="163472EB"/>
    <w:multiLevelType w:val="hybridMultilevel"/>
    <w:tmpl w:val="FD428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7836E6"/>
    <w:multiLevelType w:val="hybridMultilevel"/>
    <w:tmpl w:val="BA167F30"/>
    <w:lvl w:ilvl="0" w:tplc="0C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85170E"/>
    <w:multiLevelType w:val="hybridMultilevel"/>
    <w:tmpl w:val="2CC00764"/>
    <w:lvl w:ilvl="0" w:tplc="0C09001B">
      <w:start w:val="1"/>
      <w:numFmt w:val="lowerRoman"/>
      <w:lvlText w:val="%1."/>
      <w:lvlJc w:val="right"/>
      <w:pPr>
        <w:ind w:left="360" w:hanging="360"/>
      </w:pPr>
      <w:rPr>
        <w:rFonts w:hint="default"/>
        <w:b w:val="0"/>
        <w:i w:val="0"/>
        <w:color w:val="auto"/>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2B516D3E"/>
    <w:multiLevelType w:val="hybridMultilevel"/>
    <w:tmpl w:val="48E26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0E515C"/>
    <w:multiLevelType w:val="hybridMultilevel"/>
    <w:tmpl w:val="0062EA2C"/>
    <w:lvl w:ilvl="0" w:tplc="04090001">
      <w:start w:val="1"/>
      <w:numFmt w:val="bullet"/>
      <w:lvlText w:val=""/>
      <w:lvlJc w:val="left"/>
      <w:pPr>
        <w:ind w:left="720" w:hanging="360"/>
      </w:pPr>
      <w:rPr>
        <w:rFonts w:ascii="Symbol" w:hAnsi="Symbol" w:hint="default"/>
        <w:b w:val="0"/>
        <w:i w:val="0"/>
        <w:color w:val="auto"/>
        <w:sz w:val="20"/>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15:restartNumberingAfterBreak="0">
    <w:nsid w:val="3EFD3F4D"/>
    <w:multiLevelType w:val="hybridMultilevel"/>
    <w:tmpl w:val="39107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364ACC"/>
    <w:multiLevelType w:val="hybridMultilevel"/>
    <w:tmpl w:val="6AFC9C9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0" w15:restartNumberingAfterBreak="0">
    <w:nsid w:val="54BC6B14"/>
    <w:multiLevelType w:val="hybridMultilevel"/>
    <w:tmpl w:val="4A24CA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5265C6E"/>
    <w:multiLevelType w:val="hybridMultilevel"/>
    <w:tmpl w:val="68F84F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709354C"/>
    <w:multiLevelType w:val="hybridMultilevel"/>
    <w:tmpl w:val="B302EF5C"/>
    <w:lvl w:ilvl="0" w:tplc="04090001">
      <w:start w:val="1"/>
      <w:numFmt w:val="bullet"/>
      <w:lvlText w:val=""/>
      <w:lvlJc w:val="left"/>
      <w:pPr>
        <w:ind w:left="720" w:hanging="360"/>
      </w:pPr>
      <w:rPr>
        <w:rFonts w:ascii="Symbol" w:hAnsi="Symbol" w:hint="default"/>
        <w:b w:val="0"/>
        <w:i w:val="0"/>
        <w:color w:val="auto"/>
        <w:sz w:val="20"/>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3" w15:restartNumberingAfterBreak="0">
    <w:nsid w:val="58057A2D"/>
    <w:multiLevelType w:val="hybridMultilevel"/>
    <w:tmpl w:val="75FE34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EB7BBC"/>
    <w:multiLevelType w:val="hybridMultilevel"/>
    <w:tmpl w:val="7818A0B2"/>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5" w15:restartNumberingAfterBreak="0">
    <w:nsid w:val="608461F5"/>
    <w:multiLevelType w:val="hybridMultilevel"/>
    <w:tmpl w:val="EF063A04"/>
    <w:lvl w:ilvl="0" w:tplc="2C4E03D2">
      <w:start w:val="1"/>
      <w:numFmt w:val="upperLetter"/>
      <w:lvlText w:val="%1."/>
      <w:lvlJc w:val="left"/>
      <w:pPr>
        <w:ind w:left="502" w:hanging="360"/>
      </w:pPr>
      <w:rPr>
        <w:rFonts w:hint="default"/>
        <w:b/>
        <w:color w:val="007DC3"/>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6A9F2ACF"/>
    <w:multiLevelType w:val="multilevel"/>
    <w:tmpl w:val="24F89942"/>
    <w:styleLink w:val="AHPRAlist"/>
    <w:lvl w:ilvl="0">
      <w:start w:val="1"/>
      <w:numFmt w:val="decimal"/>
      <w:pStyle w:val="AHPRAnumberedsubheadinglevel1"/>
      <w:lvlText w:val="%1"/>
      <w:lvlJc w:val="left"/>
      <w:pPr>
        <w:ind w:left="284" w:hanging="284"/>
      </w:pPr>
      <w:rPr>
        <w:rFonts w:ascii="Arial" w:hAnsi="Arial" w:cs="Times New Roman" w:hint="default"/>
        <w:b/>
        <w:color w:val="008EC4"/>
        <w:sz w:val="20"/>
      </w:rPr>
    </w:lvl>
    <w:lvl w:ilvl="1">
      <w:start w:val="1"/>
      <w:numFmt w:val="decimal"/>
      <w:lvlText w:val="%1.%2"/>
      <w:lvlJc w:val="left"/>
      <w:pPr>
        <w:ind w:left="993" w:hanging="567"/>
      </w:pPr>
      <w:rPr>
        <w:rFonts w:ascii="Arial" w:hAnsi="Arial" w:cs="Times New Roman" w:hint="default"/>
        <w:b w:val="0"/>
        <w:i w:val="0"/>
        <w:color w:val="auto"/>
        <w:sz w:val="20"/>
      </w:rPr>
    </w:lvl>
    <w:lvl w:ilvl="2">
      <w:start w:val="1"/>
      <w:numFmt w:val="decimal"/>
      <w:lvlText w:val="%1.%2.%3"/>
      <w:lvlJc w:val="left"/>
      <w:pPr>
        <w:ind w:left="1701" w:hanging="850"/>
      </w:pPr>
      <w:rPr>
        <w:rFonts w:ascii="Arial" w:hAnsi="Arial" w:cs="Times New Roman" w:hint="default"/>
        <w:b w:val="0"/>
        <w:i w:val="0"/>
        <w:color w:val="auto"/>
        <w:sz w:val="20"/>
      </w:rPr>
    </w:lvl>
    <w:lvl w:ilvl="3">
      <w:start w:val="1"/>
      <w:numFmt w:val="decimal"/>
      <w:lvlText w:val="(%4)"/>
      <w:lvlJc w:val="left"/>
      <w:pPr>
        <w:ind w:left="2062" w:hanging="360"/>
      </w:pPr>
      <w:rPr>
        <w:rFonts w:cs="Times New Roman" w:hint="default"/>
      </w:rPr>
    </w:lvl>
    <w:lvl w:ilvl="4">
      <w:start w:val="1"/>
      <w:numFmt w:val="lowerLetter"/>
      <w:lvlText w:val="(%5)"/>
      <w:lvlJc w:val="left"/>
      <w:pPr>
        <w:ind w:left="3520" w:hanging="360"/>
      </w:pPr>
      <w:rPr>
        <w:rFonts w:cs="Times New Roman" w:hint="default"/>
      </w:rPr>
    </w:lvl>
    <w:lvl w:ilvl="5">
      <w:start w:val="1"/>
      <w:numFmt w:val="lowerRoman"/>
      <w:lvlText w:val="(%6)"/>
      <w:lvlJc w:val="left"/>
      <w:pPr>
        <w:ind w:left="3880" w:hanging="360"/>
      </w:pPr>
      <w:rPr>
        <w:rFonts w:cs="Times New Roman" w:hint="default"/>
      </w:rPr>
    </w:lvl>
    <w:lvl w:ilvl="6">
      <w:start w:val="1"/>
      <w:numFmt w:val="decimal"/>
      <w:lvlText w:val="%7."/>
      <w:lvlJc w:val="left"/>
      <w:pPr>
        <w:ind w:left="4240" w:hanging="360"/>
      </w:pPr>
      <w:rPr>
        <w:rFonts w:cs="Times New Roman" w:hint="default"/>
      </w:rPr>
    </w:lvl>
    <w:lvl w:ilvl="7">
      <w:start w:val="1"/>
      <w:numFmt w:val="lowerLetter"/>
      <w:lvlText w:val="%8."/>
      <w:lvlJc w:val="left"/>
      <w:pPr>
        <w:ind w:left="4600" w:hanging="360"/>
      </w:pPr>
      <w:rPr>
        <w:rFonts w:cs="Times New Roman" w:hint="default"/>
      </w:rPr>
    </w:lvl>
    <w:lvl w:ilvl="8">
      <w:start w:val="1"/>
      <w:numFmt w:val="lowerRoman"/>
      <w:lvlText w:val="%9."/>
      <w:lvlJc w:val="left"/>
      <w:pPr>
        <w:ind w:left="4960" w:hanging="360"/>
      </w:pPr>
      <w:rPr>
        <w:rFonts w:cs="Times New Roman" w:hint="default"/>
      </w:rPr>
    </w:lvl>
  </w:abstractNum>
  <w:abstractNum w:abstractNumId="17" w15:restartNumberingAfterBreak="0">
    <w:nsid w:val="6D825E67"/>
    <w:multiLevelType w:val="hybridMultilevel"/>
    <w:tmpl w:val="E1D442AC"/>
    <w:lvl w:ilvl="0" w:tplc="9200AF5A">
      <w:start w:val="1"/>
      <w:numFmt w:val="bullet"/>
      <w:lvlText w:val=""/>
      <w:lvlJc w:val="left"/>
      <w:pPr>
        <w:ind w:left="720" w:hanging="360"/>
      </w:pPr>
      <w:rPr>
        <w:rFonts w:ascii="Symbol" w:hAnsi="Symbol" w:hint="default"/>
      </w:rPr>
    </w:lvl>
    <w:lvl w:ilvl="1" w:tplc="B4128C9C" w:tentative="1">
      <w:start w:val="1"/>
      <w:numFmt w:val="bullet"/>
      <w:lvlText w:val="o"/>
      <w:lvlJc w:val="left"/>
      <w:pPr>
        <w:ind w:left="1440" w:hanging="360"/>
      </w:pPr>
      <w:rPr>
        <w:rFonts w:ascii="Courier New" w:hAnsi="Courier New" w:cs="Symbol" w:hint="default"/>
      </w:rPr>
    </w:lvl>
    <w:lvl w:ilvl="2" w:tplc="AC4C8854" w:tentative="1">
      <w:start w:val="1"/>
      <w:numFmt w:val="bullet"/>
      <w:lvlText w:val=""/>
      <w:lvlJc w:val="left"/>
      <w:pPr>
        <w:ind w:left="2160" w:hanging="360"/>
      </w:pPr>
      <w:rPr>
        <w:rFonts w:ascii="Wingdings" w:hAnsi="Wingdings" w:hint="default"/>
      </w:rPr>
    </w:lvl>
    <w:lvl w:ilvl="3" w:tplc="96E2C7E6" w:tentative="1">
      <w:start w:val="1"/>
      <w:numFmt w:val="bullet"/>
      <w:lvlText w:val=""/>
      <w:lvlJc w:val="left"/>
      <w:pPr>
        <w:ind w:left="2880" w:hanging="360"/>
      </w:pPr>
      <w:rPr>
        <w:rFonts w:ascii="Symbol" w:hAnsi="Symbol" w:hint="default"/>
      </w:rPr>
    </w:lvl>
    <w:lvl w:ilvl="4" w:tplc="5F22049A" w:tentative="1">
      <w:start w:val="1"/>
      <w:numFmt w:val="bullet"/>
      <w:lvlText w:val="o"/>
      <w:lvlJc w:val="left"/>
      <w:pPr>
        <w:ind w:left="3600" w:hanging="360"/>
      </w:pPr>
      <w:rPr>
        <w:rFonts w:ascii="Courier New" w:hAnsi="Courier New" w:cs="Symbol" w:hint="default"/>
      </w:rPr>
    </w:lvl>
    <w:lvl w:ilvl="5" w:tplc="FDD6C750" w:tentative="1">
      <w:start w:val="1"/>
      <w:numFmt w:val="bullet"/>
      <w:lvlText w:val=""/>
      <w:lvlJc w:val="left"/>
      <w:pPr>
        <w:ind w:left="4320" w:hanging="360"/>
      </w:pPr>
      <w:rPr>
        <w:rFonts w:ascii="Wingdings" w:hAnsi="Wingdings" w:hint="default"/>
      </w:rPr>
    </w:lvl>
    <w:lvl w:ilvl="6" w:tplc="EF68F416" w:tentative="1">
      <w:start w:val="1"/>
      <w:numFmt w:val="bullet"/>
      <w:lvlText w:val=""/>
      <w:lvlJc w:val="left"/>
      <w:pPr>
        <w:ind w:left="5040" w:hanging="360"/>
      </w:pPr>
      <w:rPr>
        <w:rFonts w:ascii="Symbol" w:hAnsi="Symbol" w:hint="default"/>
      </w:rPr>
    </w:lvl>
    <w:lvl w:ilvl="7" w:tplc="A4362A48" w:tentative="1">
      <w:start w:val="1"/>
      <w:numFmt w:val="bullet"/>
      <w:lvlText w:val="o"/>
      <w:lvlJc w:val="left"/>
      <w:pPr>
        <w:ind w:left="5760" w:hanging="360"/>
      </w:pPr>
      <w:rPr>
        <w:rFonts w:ascii="Courier New" w:hAnsi="Courier New" w:cs="Symbol" w:hint="default"/>
      </w:rPr>
    </w:lvl>
    <w:lvl w:ilvl="8" w:tplc="548CE75A" w:tentative="1">
      <w:start w:val="1"/>
      <w:numFmt w:val="bullet"/>
      <w:lvlText w:val=""/>
      <w:lvlJc w:val="left"/>
      <w:pPr>
        <w:ind w:left="6480" w:hanging="360"/>
      </w:pPr>
      <w:rPr>
        <w:rFonts w:ascii="Wingdings" w:hAnsi="Wingdings" w:hint="default"/>
      </w:rPr>
    </w:lvl>
  </w:abstractNum>
  <w:abstractNum w:abstractNumId="18" w15:restartNumberingAfterBreak="0">
    <w:nsid w:val="6D896C7B"/>
    <w:multiLevelType w:val="hybridMultilevel"/>
    <w:tmpl w:val="DB8C072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467BD4"/>
    <w:multiLevelType w:val="hybridMultilevel"/>
    <w:tmpl w:val="82A43E0C"/>
    <w:lvl w:ilvl="0" w:tplc="0C090001">
      <w:start w:val="1"/>
      <w:numFmt w:val="bullet"/>
      <w:lvlText w:val=""/>
      <w:lvlJc w:val="left"/>
      <w:pPr>
        <w:ind w:left="720" w:hanging="360"/>
      </w:pPr>
      <w:rPr>
        <w:rFonts w:ascii="Symbol" w:hAnsi="Symbol" w:hint="default"/>
      </w:rPr>
    </w:lvl>
    <w:lvl w:ilvl="1" w:tplc="B1860B38">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A56BFA"/>
    <w:multiLevelType w:val="hybridMultilevel"/>
    <w:tmpl w:val="2CC00764"/>
    <w:lvl w:ilvl="0" w:tplc="0C09001B">
      <w:start w:val="1"/>
      <w:numFmt w:val="lowerRoman"/>
      <w:lvlText w:val="%1."/>
      <w:lvlJc w:val="right"/>
      <w:pPr>
        <w:ind w:left="360" w:hanging="360"/>
      </w:pPr>
      <w:rPr>
        <w:rFonts w:hint="default"/>
        <w:b w:val="0"/>
        <w:i w:val="0"/>
        <w:color w:val="auto"/>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79D47E9E"/>
    <w:multiLevelType w:val="multilevel"/>
    <w:tmpl w:val="B3704DE2"/>
    <w:lvl w:ilvl="0">
      <w:start w:val="8"/>
      <w:numFmt w:val="decimal"/>
      <w:lvlText w:val="%1)"/>
      <w:lvlJc w:val="left"/>
      <w:pPr>
        <w:ind w:left="360" w:hanging="360"/>
      </w:pPr>
      <w:rPr>
        <w:rFonts w:cs="Times New Roman" w:hint="default"/>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9"/>
  </w:num>
  <w:num w:numId="2">
    <w:abstractNumId w:val="18"/>
  </w:num>
  <w:num w:numId="3">
    <w:abstractNumId w:val="15"/>
  </w:num>
  <w:num w:numId="4">
    <w:abstractNumId w:val="3"/>
  </w:num>
  <w:num w:numId="5">
    <w:abstractNumId w:val="16"/>
    <w:lvlOverride w:ilvl="0">
      <w:lvl w:ilvl="0">
        <w:start w:val="1"/>
        <w:numFmt w:val="decimal"/>
        <w:pStyle w:val="AHPRAnumberedsubheadinglevel1"/>
        <w:lvlText w:val="%1"/>
        <w:lvlJc w:val="left"/>
        <w:pPr>
          <w:ind w:left="284" w:hanging="284"/>
        </w:pPr>
        <w:rPr>
          <w:rFonts w:ascii="Arial" w:hAnsi="Arial" w:cs="Times New Roman" w:hint="default"/>
          <w:b/>
          <w:color w:val="008EC4"/>
          <w:sz w:val="20"/>
        </w:rPr>
      </w:lvl>
    </w:lvlOverride>
    <w:lvlOverride w:ilvl="1">
      <w:lvl w:ilvl="1">
        <w:start w:val="1"/>
        <w:numFmt w:val="decimal"/>
        <w:lvlText w:val="%1.%2"/>
        <w:lvlJc w:val="left"/>
        <w:pPr>
          <w:ind w:left="993" w:hanging="567"/>
        </w:pPr>
        <w:rPr>
          <w:rFonts w:ascii="Arial" w:hAnsi="Arial" w:cs="Times New Roman" w:hint="default"/>
          <w:b w:val="0"/>
          <w:i w:val="0"/>
          <w:color w:val="auto"/>
          <w:sz w:val="20"/>
        </w:rPr>
      </w:lvl>
    </w:lvlOverride>
    <w:lvlOverride w:ilvl="2">
      <w:lvl w:ilvl="2">
        <w:start w:val="1"/>
        <w:numFmt w:val="decimal"/>
        <w:lvlText w:val="%1.%2.%3"/>
        <w:lvlJc w:val="left"/>
        <w:pPr>
          <w:ind w:left="1701" w:hanging="850"/>
        </w:pPr>
        <w:rPr>
          <w:rFonts w:ascii="Arial" w:hAnsi="Arial" w:cs="Times New Roman" w:hint="default"/>
          <w:b w:val="0"/>
          <w:i w:val="0"/>
          <w:color w:val="auto"/>
          <w:sz w:val="20"/>
        </w:rPr>
      </w:lvl>
    </w:lvlOverride>
    <w:lvlOverride w:ilvl="3">
      <w:lvl w:ilvl="3">
        <w:start w:val="1"/>
        <w:numFmt w:val="decimal"/>
        <w:lvlText w:val="(%4)"/>
        <w:lvlJc w:val="left"/>
        <w:pPr>
          <w:ind w:left="2062" w:hanging="360"/>
        </w:pPr>
        <w:rPr>
          <w:rFonts w:cs="Times New Roman" w:hint="default"/>
        </w:rPr>
      </w:lvl>
    </w:lvlOverride>
    <w:lvlOverride w:ilvl="4">
      <w:lvl w:ilvl="4">
        <w:start w:val="1"/>
        <w:numFmt w:val="lowerLetter"/>
        <w:lvlText w:val="(%5)"/>
        <w:lvlJc w:val="left"/>
        <w:pPr>
          <w:ind w:left="3520" w:hanging="360"/>
        </w:pPr>
        <w:rPr>
          <w:rFonts w:cs="Times New Roman" w:hint="default"/>
        </w:rPr>
      </w:lvl>
    </w:lvlOverride>
    <w:lvlOverride w:ilvl="5">
      <w:lvl w:ilvl="5">
        <w:start w:val="1"/>
        <w:numFmt w:val="lowerRoman"/>
        <w:lvlText w:val="(%6)"/>
        <w:lvlJc w:val="left"/>
        <w:pPr>
          <w:ind w:left="3880" w:hanging="360"/>
        </w:pPr>
        <w:rPr>
          <w:rFonts w:cs="Times New Roman" w:hint="default"/>
        </w:rPr>
      </w:lvl>
    </w:lvlOverride>
    <w:lvlOverride w:ilvl="6">
      <w:lvl w:ilvl="6">
        <w:start w:val="1"/>
        <w:numFmt w:val="decimal"/>
        <w:lvlText w:val="%7."/>
        <w:lvlJc w:val="left"/>
        <w:pPr>
          <w:ind w:left="4240" w:hanging="360"/>
        </w:pPr>
        <w:rPr>
          <w:rFonts w:cs="Times New Roman" w:hint="default"/>
        </w:rPr>
      </w:lvl>
    </w:lvlOverride>
    <w:lvlOverride w:ilvl="7">
      <w:lvl w:ilvl="7">
        <w:start w:val="1"/>
        <w:numFmt w:val="lowerLetter"/>
        <w:lvlText w:val="%8."/>
        <w:lvlJc w:val="left"/>
        <w:pPr>
          <w:ind w:left="4600" w:hanging="360"/>
        </w:pPr>
        <w:rPr>
          <w:rFonts w:cs="Times New Roman" w:hint="default"/>
        </w:rPr>
      </w:lvl>
    </w:lvlOverride>
    <w:lvlOverride w:ilvl="8">
      <w:lvl w:ilvl="8">
        <w:start w:val="1"/>
        <w:numFmt w:val="lowerRoman"/>
        <w:lvlText w:val="%9."/>
        <w:lvlJc w:val="left"/>
        <w:pPr>
          <w:ind w:left="4960" w:hanging="360"/>
        </w:pPr>
        <w:rPr>
          <w:rFonts w:cs="Times New Roman" w:hint="default"/>
        </w:rPr>
      </w:lvl>
    </w:lvlOverride>
  </w:num>
  <w:num w:numId="6">
    <w:abstractNumId w:val="16"/>
  </w:num>
  <w:num w:numId="7">
    <w:abstractNumId w:val="14"/>
  </w:num>
  <w:num w:numId="8">
    <w:abstractNumId w:val="13"/>
  </w:num>
  <w:num w:numId="9">
    <w:abstractNumId w:val="10"/>
  </w:num>
  <w:num w:numId="10">
    <w:abstractNumId w:val="17"/>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8"/>
  </w:num>
  <w:num w:numId="15">
    <w:abstractNumId w:val="6"/>
  </w:num>
  <w:num w:numId="16">
    <w:abstractNumId w:val="1"/>
  </w:num>
  <w:num w:numId="17">
    <w:abstractNumId w:val="0"/>
  </w:num>
  <w:num w:numId="18">
    <w:abstractNumId w:val="5"/>
  </w:num>
  <w:num w:numId="19">
    <w:abstractNumId w:val="20"/>
  </w:num>
  <w:num w:numId="20">
    <w:abstractNumId w:val="0"/>
  </w:num>
  <w:num w:numId="21">
    <w:abstractNumId w:val="0"/>
  </w:num>
  <w:num w:numId="22">
    <w:abstractNumId w:val="0"/>
  </w:num>
  <w:num w:numId="23">
    <w:abstractNumId w:val="7"/>
  </w:num>
  <w:num w:numId="24">
    <w:abstractNumId w:val="4"/>
  </w:num>
  <w:num w:numId="25">
    <w:abstractNumId w:val="12"/>
  </w:num>
  <w:num w:numId="26">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efaultTabStop w:val="720"/>
  <w:drawingGridHorizontalSpacing w:val="110"/>
  <w:displayHorizontalDrawingGridEvery w:val="2"/>
  <w:characterSpacingControl w:val="doNotCompress"/>
  <w:hdrShapeDefaults>
    <o:shapedefaults v:ext="edit" spidmax="4099" strokecolor="#528cc1">
      <v:stroke color="#528cc1" weight="1pt"/>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1F3F4D"/>
    <w:rsid w:val="0000032B"/>
    <w:rsid w:val="00002614"/>
    <w:rsid w:val="00005FB0"/>
    <w:rsid w:val="000060DB"/>
    <w:rsid w:val="00006D97"/>
    <w:rsid w:val="00010694"/>
    <w:rsid w:val="00011B9C"/>
    <w:rsid w:val="00014178"/>
    <w:rsid w:val="00014CDC"/>
    <w:rsid w:val="00015889"/>
    <w:rsid w:val="000217C1"/>
    <w:rsid w:val="000218A4"/>
    <w:rsid w:val="000230E6"/>
    <w:rsid w:val="000232A8"/>
    <w:rsid w:val="00023B2C"/>
    <w:rsid w:val="00023D4A"/>
    <w:rsid w:val="00023F47"/>
    <w:rsid w:val="0002544C"/>
    <w:rsid w:val="0002774D"/>
    <w:rsid w:val="00027C5F"/>
    <w:rsid w:val="000306C0"/>
    <w:rsid w:val="0003080C"/>
    <w:rsid w:val="0003133A"/>
    <w:rsid w:val="00034710"/>
    <w:rsid w:val="00037056"/>
    <w:rsid w:val="00043A58"/>
    <w:rsid w:val="000440B3"/>
    <w:rsid w:val="0004464B"/>
    <w:rsid w:val="0005006E"/>
    <w:rsid w:val="00051ACB"/>
    <w:rsid w:val="00056181"/>
    <w:rsid w:val="00062273"/>
    <w:rsid w:val="00066045"/>
    <w:rsid w:val="0006683F"/>
    <w:rsid w:val="000719FC"/>
    <w:rsid w:val="00072928"/>
    <w:rsid w:val="00074CC7"/>
    <w:rsid w:val="00076D30"/>
    <w:rsid w:val="000824C0"/>
    <w:rsid w:val="00083693"/>
    <w:rsid w:val="0008406A"/>
    <w:rsid w:val="000860EB"/>
    <w:rsid w:val="000873DD"/>
    <w:rsid w:val="00090B49"/>
    <w:rsid w:val="00092320"/>
    <w:rsid w:val="00094ED6"/>
    <w:rsid w:val="000960F8"/>
    <w:rsid w:val="000965BA"/>
    <w:rsid w:val="000A163C"/>
    <w:rsid w:val="000A1DD7"/>
    <w:rsid w:val="000A31D9"/>
    <w:rsid w:val="000A347D"/>
    <w:rsid w:val="000A3D8B"/>
    <w:rsid w:val="000A49DA"/>
    <w:rsid w:val="000A70F6"/>
    <w:rsid w:val="000B060F"/>
    <w:rsid w:val="000B144E"/>
    <w:rsid w:val="000B3299"/>
    <w:rsid w:val="000B4AA5"/>
    <w:rsid w:val="000B550B"/>
    <w:rsid w:val="000C1F4C"/>
    <w:rsid w:val="000C577B"/>
    <w:rsid w:val="000C653A"/>
    <w:rsid w:val="000C6F07"/>
    <w:rsid w:val="000C771F"/>
    <w:rsid w:val="000D0D7B"/>
    <w:rsid w:val="000D0E9D"/>
    <w:rsid w:val="000D2C76"/>
    <w:rsid w:val="000D338C"/>
    <w:rsid w:val="000E1E6D"/>
    <w:rsid w:val="000E200B"/>
    <w:rsid w:val="000E24AB"/>
    <w:rsid w:val="000E25C7"/>
    <w:rsid w:val="000E340C"/>
    <w:rsid w:val="000E3807"/>
    <w:rsid w:val="000E4C2F"/>
    <w:rsid w:val="000E5779"/>
    <w:rsid w:val="000E787A"/>
    <w:rsid w:val="000F20C4"/>
    <w:rsid w:val="000F607F"/>
    <w:rsid w:val="001005C9"/>
    <w:rsid w:val="00100652"/>
    <w:rsid w:val="001014EB"/>
    <w:rsid w:val="0010297F"/>
    <w:rsid w:val="001046BD"/>
    <w:rsid w:val="001078CD"/>
    <w:rsid w:val="00107ACF"/>
    <w:rsid w:val="001106EC"/>
    <w:rsid w:val="00112A84"/>
    <w:rsid w:val="0011535C"/>
    <w:rsid w:val="00115CC9"/>
    <w:rsid w:val="0011735F"/>
    <w:rsid w:val="00121242"/>
    <w:rsid w:val="0012563A"/>
    <w:rsid w:val="001345E6"/>
    <w:rsid w:val="0013513A"/>
    <w:rsid w:val="00135269"/>
    <w:rsid w:val="00136C2E"/>
    <w:rsid w:val="00137216"/>
    <w:rsid w:val="00142582"/>
    <w:rsid w:val="001455C7"/>
    <w:rsid w:val="00145658"/>
    <w:rsid w:val="00145C18"/>
    <w:rsid w:val="0015174D"/>
    <w:rsid w:val="00154BB2"/>
    <w:rsid w:val="00155813"/>
    <w:rsid w:val="00156C05"/>
    <w:rsid w:val="00156FC5"/>
    <w:rsid w:val="001603CA"/>
    <w:rsid w:val="00161C94"/>
    <w:rsid w:val="0016232A"/>
    <w:rsid w:val="00167C63"/>
    <w:rsid w:val="00170614"/>
    <w:rsid w:val="00181F1F"/>
    <w:rsid w:val="00182C59"/>
    <w:rsid w:val="00186133"/>
    <w:rsid w:val="00186319"/>
    <w:rsid w:val="00186CD8"/>
    <w:rsid w:val="001879B7"/>
    <w:rsid w:val="001926E9"/>
    <w:rsid w:val="001933DD"/>
    <w:rsid w:val="001933F4"/>
    <w:rsid w:val="00193ADB"/>
    <w:rsid w:val="00196C3C"/>
    <w:rsid w:val="001A0761"/>
    <w:rsid w:val="001A0D16"/>
    <w:rsid w:val="001A3980"/>
    <w:rsid w:val="001A420F"/>
    <w:rsid w:val="001A7C30"/>
    <w:rsid w:val="001A7E77"/>
    <w:rsid w:val="001B04FD"/>
    <w:rsid w:val="001B5CC7"/>
    <w:rsid w:val="001C6346"/>
    <w:rsid w:val="001D088F"/>
    <w:rsid w:val="001D49C2"/>
    <w:rsid w:val="001D4DF7"/>
    <w:rsid w:val="001D522A"/>
    <w:rsid w:val="001E53D0"/>
    <w:rsid w:val="001E5549"/>
    <w:rsid w:val="001F05C8"/>
    <w:rsid w:val="001F0A82"/>
    <w:rsid w:val="001F3707"/>
    <w:rsid w:val="001F3F4D"/>
    <w:rsid w:val="001F47FD"/>
    <w:rsid w:val="001F75EC"/>
    <w:rsid w:val="002034F4"/>
    <w:rsid w:val="0020379D"/>
    <w:rsid w:val="0020491B"/>
    <w:rsid w:val="0020553C"/>
    <w:rsid w:val="002074FD"/>
    <w:rsid w:val="00210800"/>
    <w:rsid w:val="00211395"/>
    <w:rsid w:val="00220360"/>
    <w:rsid w:val="00222B03"/>
    <w:rsid w:val="0022351C"/>
    <w:rsid w:val="00223FF0"/>
    <w:rsid w:val="00225E5A"/>
    <w:rsid w:val="00226BA5"/>
    <w:rsid w:val="00227D28"/>
    <w:rsid w:val="00232AF3"/>
    <w:rsid w:val="0023671C"/>
    <w:rsid w:val="00242F97"/>
    <w:rsid w:val="00243EFD"/>
    <w:rsid w:val="002450B9"/>
    <w:rsid w:val="00245BBF"/>
    <w:rsid w:val="002512C3"/>
    <w:rsid w:val="00251CDA"/>
    <w:rsid w:val="00253D28"/>
    <w:rsid w:val="0025441F"/>
    <w:rsid w:val="002557B3"/>
    <w:rsid w:val="00261B3C"/>
    <w:rsid w:val="0026232C"/>
    <w:rsid w:val="002623D5"/>
    <w:rsid w:val="00267237"/>
    <w:rsid w:val="0026725E"/>
    <w:rsid w:val="00271A18"/>
    <w:rsid w:val="00272B91"/>
    <w:rsid w:val="002738D2"/>
    <w:rsid w:val="00280B87"/>
    <w:rsid w:val="00281314"/>
    <w:rsid w:val="0028555A"/>
    <w:rsid w:val="00286C43"/>
    <w:rsid w:val="00287858"/>
    <w:rsid w:val="00291B64"/>
    <w:rsid w:val="00291D87"/>
    <w:rsid w:val="002965DB"/>
    <w:rsid w:val="002A20A7"/>
    <w:rsid w:val="002A2431"/>
    <w:rsid w:val="002A47CF"/>
    <w:rsid w:val="002A7D3C"/>
    <w:rsid w:val="002B0BCD"/>
    <w:rsid w:val="002B1372"/>
    <w:rsid w:val="002B444E"/>
    <w:rsid w:val="002B4633"/>
    <w:rsid w:val="002C0C29"/>
    <w:rsid w:val="002C1833"/>
    <w:rsid w:val="002C18FA"/>
    <w:rsid w:val="002C2B65"/>
    <w:rsid w:val="002C4B72"/>
    <w:rsid w:val="002C5A7B"/>
    <w:rsid w:val="002C64A6"/>
    <w:rsid w:val="002D404D"/>
    <w:rsid w:val="002D501E"/>
    <w:rsid w:val="002D672F"/>
    <w:rsid w:val="002D6D30"/>
    <w:rsid w:val="002E1E63"/>
    <w:rsid w:val="002E2483"/>
    <w:rsid w:val="002E2D68"/>
    <w:rsid w:val="002E4B6D"/>
    <w:rsid w:val="002E522B"/>
    <w:rsid w:val="002E6114"/>
    <w:rsid w:val="002E7316"/>
    <w:rsid w:val="002F0B75"/>
    <w:rsid w:val="002F1283"/>
    <w:rsid w:val="002F14BB"/>
    <w:rsid w:val="002F347E"/>
    <w:rsid w:val="0030034F"/>
    <w:rsid w:val="00303184"/>
    <w:rsid w:val="00306E96"/>
    <w:rsid w:val="0030738B"/>
    <w:rsid w:val="00320294"/>
    <w:rsid w:val="00321068"/>
    <w:rsid w:val="00325986"/>
    <w:rsid w:val="0033628C"/>
    <w:rsid w:val="003378F8"/>
    <w:rsid w:val="00337FDF"/>
    <w:rsid w:val="00340BE4"/>
    <w:rsid w:val="00341DCB"/>
    <w:rsid w:val="00342095"/>
    <w:rsid w:val="00344737"/>
    <w:rsid w:val="00345D3A"/>
    <w:rsid w:val="00346036"/>
    <w:rsid w:val="003466A3"/>
    <w:rsid w:val="00347F8F"/>
    <w:rsid w:val="00354A41"/>
    <w:rsid w:val="00357CA7"/>
    <w:rsid w:val="00357DCD"/>
    <w:rsid w:val="00360124"/>
    <w:rsid w:val="0036325E"/>
    <w:rsid w:val="0037066D"/>
    <w:rsid w:val="00371FE4"/>
    <w:rsid w:val="0037546B"/>
    <w:rsid w:val="0037590F"/>
    <w:rsid w:val="00375C39"/>
    <w:rsid w:val="003767FF"/>
    <w:rsid w:val="00383BDE"/>
    <w:rsid w:val="00386779"/>
    <w:rsid w:val="00390F03"/>
    <w:rsid w:val="003912A2"/>
    <w:rsid w:val="00392B85"/>
    <w:rsid w:val="00393FFD"/>
    <w:rsid w:val="0039724A"/>
    <w:rsid w:val="0039767C"/>
    <w:rsid w:val="003A0FA7"/>
    <w:rsid w:val="003A2EA2"/>
    <w:rsid w:val="003A34EF"/>
    <w:rsid w:val="003A3515"/>
    <w:rsid w:val="003A54B0"/>
    <w:rsid w:val="003A68A6"/>
    <w:rsid w:val="003A6E7A"/>
    <w:rsid w:val="003A74D7"/>
    <w:rsid w:val="003B168F"/>
    <w:rsid w:val="003B1F74"/>
    <w:rsid w:val="003B2B61"/>
    <w:rsid w:val="003B475A"/>
    <w:rsid w:val="003B485F"/>
    <w:rsid w:val="003B56A4"/>
    <w:rsid w:val="003C0DB0"/>
    <w:rsid w:val="003C41D8"/>
    <w:rsid w:val="003C584B"/>
    <w:rsid w:val="003D4503"/>
    <w:rsid w:val="003D4728"/>
    <w:rsid w:val="003E1F0B"/>
    <w:rsid w:val="003E54F9"/>
    <w:rsid w:val="003E71B4"/>
    <w:rsid w:val="003F04C7"/>
    <w:rsid w:val="003F100F"/>
    <w:rsid w:val="003F1ABF"/>
    <w:rsid w:val="003F1BE3"/>
    <w:rsid w:val="003F265C"/>
    <w:rsid w:val="003F4432"/>
    <w:rsid w:val="003F4B20"/>
    <w:rsid w:val="00401A0F"/>
    <w:rsid w:val="00401F2A"/>
    <w:rsid w:val="004112A1"/>
    <w:rsid w:val="0041442C"/>
    <w:rsid w:val="004172D0"/>
    <w:rsid w:val="00417A93"/>
    <w:rsid w:val="00420441"/>
    <w:rsid w:val="00420784"/>
    <w:rsid w:val="00420DAE"/>
    <w:rsid w:val="00426D7D"/>
    <w:rsid w:val="00427C94"/>
    <w:rsid w:val="00434507"/>
    <w:rsid w:val="00435683"/>
    <w:rsid w:val="00442D9E"/>
    <w:rsid w:val="00443FE0"/>
    <w:rsid w:val="00452291"/>
    <w:rsid w:val="0045263C"/>
    <w:rsid w:val="00454CE1"/>
    <w:rsid w:val="0045575E"/>
    <w:rsid w:val="00455D5C"/>
    <w:rsid w:val="00457900"/>
    <w:rsid w:val="00463C00"/>
    <w:rsid w:val="0046552A"/>
    <w:rsid w:val="0046574B"/>
    <w:rsid w:val="00466861"/>
    <w:rsid w:val="004673C5"/>
    <w:rsid w:val="004705C8"/>
    <w:rsid w:val="004712A6"/>
    <w:rsid w:val="004766B6"/>
    <w:rsid w:val="00480050"/>
    <w:rsid w:val="004809C0"/>
    <w:rsid w:val="004860E9"/>
    <w:rsid w:val="00486BB2"/>
    <w:rsid w:val="004905CA"/>
    <w:rsid w:val="00490D70"/>
    <w:rsid w:val="004928E5"/>
    <w:rsid w:val="00497393"/>
    <w:rsid w:val="004A1424"/>
    <w:rsid w:val="004A2EB1"/>
    <w:rsid w:val="004A5399"/>
    <w:rsid w:val="004A5695"/>
    <w:rsid w:val="004A6A96"/>
    <w:rsid w:val="004A7F96"/>
    <w:rsid w:val="004B1EF5"/>
    <w:rsid w:val="004B2E4F"/>
    <w:rsid w:val="004B59FD"/>
    <w:rsid w:val="004C0834"/>
    <w:rsid w:val="004C0B51"/>
    <w:rsid w:val="004C0CEE"/>
    <w:rsid w:val="004C2B81"/>
    <w:rsid w:val="004C3A79"/>
    <w:rsid w:val="004C7A7F"/>
    <w:rsid w:val="004D0175"/>
    <w:rsid w:val="004D33F4"/>
    <w:rsid w:val="004D3CC8"/>
    <w:rsid w:val="004E18DD"/>
    <w:rsid w:val="004E2F74"/>
    <w:rsid w:val="004E7832"/>
    <w:rsid w:val="004F2B6A"/>
    <w:rsid w:val="004F324C"/>
    <w:rsid w:val="004F382B"/>
    <w:rsid w:val="004F5F09"/>
    <w:rsid w:val="004F67AB"/>
    <w:rsid w:val="00504B69"/>
    <w:rsid w:val="00505784"/>
    <w:rsid w:val="00506A3A"/>
    <w:rsid w:val="0050702A"/>
    <w:rsid w:val="005100FB"/>
    <w:rsid w:val="005110F6"/>
    <w:rsid w:val="00512863"/>
    <w:rsid w:val="00514574"/>
    <w:rsid w:val="00515230"/>
    <w:rsid w:val="00515659"/>
    <w:rsid w:val="00517C83"/>
    <w:rsid w:val="005229E4"/>
    <w:rsid w:val="005276B2"/>
    <w:rsid w:val="00532AF9"/>
    <w:rsid w:val="005363EA"/>
    <w:rsid w:val="005414EB"/>
    <w:rsid w:val="00543851"/>
    <w:rsid w:val="005447D0"/>
    <w:rsid w:val="005509AC"/>
    <w:rsid w:val="00551B12"/>
    <w:rsid w:val="0055293F"/>
    <w:rsid w:val="00553657"/>
    <w:rsid w:val="005601C3"/>
    <w:rsid w:val="00560E68"/>
    <w:rsid w:val="005621F8"/>
    <w:rsid w:val="00564068"/>
    <w:rsid w:val="00565446"/>
    <w:rsid w:val="00565534"/>
    <w:rsid w:val="00565B8A"/>
    <w:rsid w:val="00567283"/>
    <w:rsid w:val="00567423"/>
    <w:rsid w:val="00570C87"/>
    <w:rsid w:val="0057187F"/>
    <w:rsid w:val="00572DF7"/>
    <w:rsid w:val="0057347B"/>
    <w:rsid w:val="005769C0"/>
    <w:rsid w:val="005806C4"/>
    <w:rsid w:val="00580EED"/>
    <w:rsid w:val="0058239E"/>
    <w:rsid w:val="005860A4"/>
    <w:rsid w:val="0058775B"/>
    <w:rsid w:val="005907D1"/>
    <w:rsid w:val="00594DB7"/>
    <w:rsid w:val="005A2485"/>
    <w:rsid w:val="005B0106"/>
    <w:rsid w:val="005B6798"/>
    <w:rsid w:val="005B754A"/>
    <w:rsid w:val="005C1927"/>
    <w:rsid w:val="005C575E"/>
    <w:rsid w:val="005D0D8A"/>
    <w:rsid w:val="005D1459"/>
    <w:rsid w:val="005D2FD9"/>
    <w:rsid w:val="005D3456"/>
    <w:rsid w:val="005D35CE"/>
    <w:rsid w:val="005D684E"/>
    <w:rsid w:val="005D75B8"/>
    <w:rsid w:val="005E0AF9"/>
    <w:rsid w:val="005E0B92"/>
    <w:rsid w:val="005E59FA"/>
    <w:rsid w:val="005F07B7"/>
    <w:rsid w:val="005F4A14"/>
    <w:rsid w:val="005F53E9"/>
    <w:rsid w:val="005F5672"/>
    <w:rsid w:val="00603454"/>
    <w:rsid w:val="00605E1F"/>
    <w:rsid w:val="00607FB1"/>
    <w:rsid w:val="00612B95"/>
    <w:rsid w:val="00613CD5"/>
    <w:rsid w:val="006144AC"/>
    <w:rsid w:val="00620282"/>
    <w:rsid w:val="006216A9"/>
    <w:rsid w:val="006226D1"/>
    <w:rsid w:val="00626D63"/>
    <w:rsid w:val="00630C1E"/>
    <w:rsid w:val="00632FE7"/>
    <w:rsid w:val="00636DE6"/>
    <w:rsid w:val="0063703D"/>
    <w:rsid w:val="0063744E"/>
    <w:rsid w:val="006537C2"/>
    <w:rsid w:val="00653CFE"/>
    <w:rsid w:val="00656199"/>
    <w:rsid w:val="00656E38"/>
    <w:rsid w:val="00660400"/>
    <w:rsid w:val="00661095"/>
    <w:rsid w:val="00663363"/>
    <w:rsid w:val="00666655"/>
    <w:rsid w:val="0066751A"/>
    <w:rsid w:val="00670E0A"/>
    <w:rsid w:val="006719E9"/>
    <w:rsid w:val="006743FA"/>
    <w:rsid w:val="00676B42"/>
    <w:rsid w:val="0068065A"/>
    <w:rsid w:val="006815D6"/>
    <w:rsid w:val="0068366F"/>
    <w:rsid w:val="00684ED2"/>
    <w:rsid w:val="00686460"/>
    <w:rsid w:val="00686646"/>
    <w:rsid w:val="00691604"/>
    <w:rsid w:val="00692888"/>
    <w:rsid w:val="0069293D"/>
    <w:rsid w:val="00694FFD"/>
    <w:rsid w:val="006A09C7"/>
    <w:rsid w:val="006A1430"/>
    <w:rsid w:val="006A154A"/>
    <w:rsid w:val="006A44DB"/>
    <w:rsid w:val="006A4AC7"/>
    <w:rsid w:val="006A62C9"/>
    <w:rsid w:val="006B0100"/>
    <w:rsid w:val="006B111B"/>
    <w:rsid w:val="006B131E"/>
    <w:rsid w:val="006B2142"/>
    <w:rsid w:val="006B340D"/>
    <w:rsid w:val="006B6F8B"/>
    <w:rsid w:val="006C1817"/>
    <w:rsid w:val="006C59BE"/>
    <w:rsid w:val="006D0BB1"/>
    <w:rsid w:val="006D12B3"/>
    <w:rsid w:val="006D2DA4"/>
    <w:rsid w:val="006D3F7F"/>
    <w:rsid w:val="006D408F"/>
    <w:rsid w:val="006D4A9F"/>
    <w:rsid w:val="006E042B"/>
    <w:rsid w:val="006E1254"/>
    <w:rsid w:val="006E493D"/>
    <w:rsid w:val="006E4DD8"/>
    <w:rsid w:val="006F383A"/>
    <w:rsid w:val="006F7307"/>
    <w:rsid w:val="006F7575"/>
    <w:rsid w:val="00701C28"/>
    <w:rsid w:val="00701E2E"/>
    <w:rsid w:val="00702CFF"/>
    <w:rsid w:val="00703B05"/>
    <w:rsid w:val="0070523A"/>
    <w:rsid w:val="007105BE"/>
    <w:rsid w:val="0071260A"/>
    <w:rsid w:val="00712DCA"/>
    <w:rsid w:val="0071367E"/>
    <w:rsid w:val="007141C1"/>
    <w:rsid w:val="00715151"/>
    <w:rsid w:val="007238FE"/>
    <w:rsid w:val="00731112"/>
    <w:rsid w:val="00731C81"/>
    <w:rsid w:val="007346F7"/>
    <w:rsid w:val="00735D37"/>
    <w:rsid w:val="00735D3A"/>
    <w:rsid w:val="00737A49"/>
    <w:rsid w:val="00741DEC"/>
    <w:rsid w:val="007425C8"/>
    <w:rsid w:val="00742B1E"/>
    <w:rsid w:val="0074342B"/>
    <w:rsid w:val="00743ACE"/>
    <w:rsid w:val="00747F11"/>
    <w:rsid w:val="00757019"/>
    <w:rsid w:val="00762501"/>
    <w:rsid w:val="00763C3A"/>
    <w:rsid w:val="00766317"/>
    <w:rsid w:val="00766A08"/>
    <w:rsid w:val="00767C84"/>
    <w:rsid w:val="00770EAF"/>
    <w:rsid w:val="007723BD"/>
    <w:rsid w:val="00772AAF"/>
    <w:rsid w:val="0077628C"/>
    <w:rsid w:val="00781C94"/>
    <w:rsid w:val="007834D9"/>
    <w:rsid w:val="0078355A"/>
    <w:rsid w:val="0079300A"/>
    <w:rsid w:val="007A03F3"/>
    <w:rsid w:val="007A0589"/>
    <w:rsid w:val="007A1EFA"/>
    <w:rsid w:val="007A54A6"/>
    <w:rsid w:val="007A69D0"/>
    <w:rsid w:val="007A76A6"/>
    <w:rsid w:val="007B08AA"/>
    <w:rsid w:val="007B200F"/>
    <w:rsid w:val="007B2E70"/>
    <w:rsid w:val="007B3F4C"/>
    <w:rsid w:val="007B41A7"/>
    <w:rsid w:val="007B6667"/>
    <w:rsid w:val="007C29F6"/>
    <w:rsid w:val="007C526E"/>
    <w:rsid w:val="007C5A5E"/>
    <w:rsid w:val="007C75C0"/>
    <w:rsid w:val="007C7AC5"/>
    <w:rsid w:val="007D1D4D"/>
    <w:rsid w:val="007D4325"/>
    <w:rsid w:val="007D6AB7"/>
    <w:rsid w:val="007D6C10"/>
    <w:rsid w:val="007D75FD"/>
    <w:rsid w:val="007E1296"/>
    <w:rsid w:val="007E62C1"/>
    <w:rsid w:val="007E6465"/>
    <w:rsid w:val="007E6692"/>
    <w:rsid w:val="007E795A"/>
    <w:rsid w:val="007E7D2E"/>
    <w:rsid w:val="007F142F"/>
    <w:rsid w:val="007F586B"/>
    <w:rsid w:val="007F67E8"/>
    <w:rsid w:val="007F7C42"/>
    <w:rsid w:val="00801FBA"/>
    <w:rsid w:val="00804BBC"/>
    <w:rsid w:val="0080612D"/>
    <w:rsid w:val="00811F79"/>
    <w:rsid w:val="008123AF"/>
    <w:rsid w:val="00812BD1"/>
    <w:rsid w:val="00813169"/>
    <w:rsid w:val="008131B8"/>
    <w:rsid w:val="008133FA"/>
    <w:rsid w:val="008144C6"/>
    <w:rsid w:val="00815BA9"/>
    <w:rsid w:val="00825DD9"/>
    <w:rsid w:val="00826846"/>
    <w:rsid w:val="00831CAD"/>
    <w:rsid w:val="0083457B"/>
    <w:rsid w:val="00835F2E"/>
    <w:rsid w:val="00836BD9"/>
    <w:rsid w:val="008400ED"/>
    <w:rsid w:val="008425C0"/>
    <w:rsid w:val="00845896"/>
    <w:rsid w:val="00846B3D"/>
    <w:rsid w:val="00850628"/>
    <w:rsid w:val="00851DCE"/>
    <w:rsid w:val="00857628"/>
    <w:rsid w:val="00861E2D"/>
    <w:rsid w:val="00862297"/>
    <w:rsid w:val="00864363"/>
    <w:rsid w:val="0086679D"/>
    <w:rsid w:val="00866A27"/>
    <w:rsid w:val="00870BCA"/>
    <w:rsid w:val="00871209"/>
    <w:rsid w:val="008717C8"/>
    <w:rsid w:val="00872306"/>
    <w:rsid w:val="00872491"/>
    <w:rsid w:val="00872E9A"/>
    <w:rsid w:val="00877812"/>
    <w:rsid w:val="00881027"/>
    <w:rsid w:val="00884635"/>
    <w:rsid w:val="00885AF0"/>
    <w:rsid w:val="00885CA5"/>
    <w:rsid w:val="0089161B"/>
    <w:rsid w:val="0089299C"/>
    <w:rsid w:val="00893D25"/>
    <w:rsid w:val="00896002"/>
    <w:rsid w:val="008A29BB"/>
    <w:rsid w:val="008A5A7E"/>
    <w:rsid w:val="008A6C18"/>
    <w:rsid w:val="008A717B"/>
    <w:rsid w:val="008B225D"/>
    <w:rsid w:val="008B340B"/>
    <w:rsid w:val="008B54C1"/>
    <w:rsid w:val="008D036D"/>
    <w:rsid w:val="008D19AB"/>
    <w:rsid w:val="008D25DD"/>
    <w:rsid w:val="008D3A24"/>
    <w:rsid w:val="008D66FC"/>
    <w:rsid w:val="008E2859"/>
    <w:rsid w:val="008E41E8"/>
    <w:rsid w:val="008E59A3"/>
    <w:rsid w:val="008E707D"/>
    <w:rsid w:val="008E7342"/>
    <w:rsid w:val="008E7EEE"/>
    <w:rsid w:val="008F08BD"/>
    <w:rsid w:val="008F152D"/>
    <w:rsid w:val="008F3698"/>
    <w:rsid w:val="00904382"/>
    <w:rsid w:val="009068AF"/>
    <w:rsid w:val="00906D94"/>
    <w:rsid w:val="009076F1"/>
    <w:rsid w:val="00910E52"/>
    <w:rsid w:val="00911C44"/>
    <w:rsid w:val="00913E3C"/>
    <w:rsid w:val="0091442B"/>
    <w:rsid w:val="009144E6"/>
    <w:rsid w:val="0091651C"/>
    <w:rsid w:val="00916A81"/>
    <w:rsid w:val="0091746B"/>
    <w:rsid w:val="0092094B"/>
    <w:rsid w:val="00921334"/>
    <w:rsid w:val="009219F9"/>
    <w:rsid w:val="00921C57"/>
    <w:rsid w:val="00921FFB"/>
    <w:rsid w:val="009228F2"/>
    <w:rsid w:val="00925705"/>
    <w:rsid w:val="0092605A"/>
    <w:rsid w:val="00927769"/>
    <w:rsid w:val="00933CA4"/>
    <w:rsid w:val="009367E9"/>
    <w:rsid w:val="009372B0"/>
    <w:rsid w:val="00942F18"/>
    <w:rsid w:val="009506CF"/>
    <w:rsid w:val="00950E8F"/>
    <w:rsid w:val="009539B3"/>
    <w:rsid w:val="00953F44"/>
    <w:rsid w:val="00954475"/>
    <w:rsid w:val="00956EE0"/>
    <w:rsid w:val="00960747"/>
    <w:rsid w:val="00961FC0"/>
    <w:rsid w:val="009638FB"/>
    <w:rsid w:val="00964470"/>
    <w:rsid w:val="00971B6A"/>
    <w:rsid w:val="009751D9"/>
    <w:rsid w:val="009753CC"/>
    <w:rsid w:val="00980FDC"/>
    <w:rsid w:val="00982367"/>
    <w:rsid w:val="0098718B"/>
    <w:rsid w:val="0098796D"/>
    <w:rsid w:val="00990065"/>
    <w:rsid w:val="00992312"/>
    <w:rsid w:val="00992A50"/>
    <w:rsid w:val="0099588D"/>
    <w:rsid w:val="00996567"/>
    <w:rsid w:val="009A10BC"/>
    <w:rsid w:val="009A1D63"/>
    <w:rsid w:val="009B0C04"/>
    <w:rsid w:val="009C0CF3"/>
    <w:rsid w:val="009C11DD"/>
    <w:rsid w:val="009C3872"/>
    <w:rsid w:val="009C3A83"/>
    <w:rsid w:val="009C49A8"/>
    <w:rsid w:val="009C4E64"/>
    <w:rsid w:val="009C5F47"/>
    <w:rsid w:val="009D0F7B"/>
    <w:rsid w:val="009D19A9"/>
    <w:rsid w:val="009D1EA2"/>
    <w:rsid w:val="009D2514"/>
    <w:rsid w:val="009D2580"/>
    <w:rsid w:val="009D298F"/>
    <w:rsid w:val="009D6C48"/>
    <w:rsid w:val="009E0570"/>
    <w:rsid w:val="009E3388"/>
    <w:rsid w:val="009E7CCB"/>
    <w:rsid w:val="009F0943"/>
    <w:rsid w:val="009F0A30"/>
    <w:rsid w:val="009F1294"/>
    <w:rsid w:val="009F22A1"/>
    <w:rsid w:val="009F2E64"/>
    <w:rsid w:val="009F484A"/>
    <w:rsid w:val="009F4BBC"/>
    <w:rsid w:val="009F571F"/>
    <w:rsid w:val="009F7EE2"/>
    <w:rsid w:val="00A00585"/>
    <w:rsid w:val="00A00911"/>
    <w:rsid w:val="00A0252E"/>
    <w:rsid w:val="00A04CB9"/>
    <w:rsid w:val="00A05203"/>
    <w:rsid w:val="00A11C14"/>
    <w:rsid w:val="00A133DA"/>
    <w:rsid w:val="00A142D6"/>
    <w:rsid w:val="00A15094"/>
    <w:rsid w:val="00A1756A"/>
    <w:rsid w:val="00A20639"/>
    <w:rsid w:val="00A22D14"/>
    <w:rsid w:val="00A27D23"/>
    <w:rsid w:val="00A310E0"/>
    <w:rsid w:val="00A31CC9"/>
    <w:rsid w:val="00A3518E"/>
    <w:rsid w:val="00A35CA0"/>
    <w:rsid w:val="00A461AA"/>
    <w:rsid w:val="00A463BD"/>
    <w:rsid w:val="00A53BED"/>
    <w:rsid w:val="00A546D2"/>
    <w:rsid w:val="00A5671C"/>
    <w:rsid w:val="00A577B7"/>
    <w:rsid w:val="00A57B5E"/>
    <w:rsid w:val="00A61EB3"/>
    <w:rsid w:val="00A6222B"/>
    <w:rsid w:val="00A65E96"/>
    <w:rsid w:val="00A71FB0"/>
    <w:rsid w:val="00A72BDA"/>
    <w:rsid w:val="00A7318C"/>
    <w:rsid w:val="00A74A55"/>
    <w:rsid w:val="00A77029"/>
    <w:rsid w:val="00A77393"/>
    <w:rsid w:val="00A80557"/>
    <w:rsid w:val="00A84E66"/>
    <w:rsid w:val="00A86890"/>
    <w:rsid w:val="00A87FFB"/>
    <w:rsid w:val="00A94F68"/>
    <w:rsid w:val="00AA05CF"/>
    <w:rsid w:val="00AA1526"/>
    <w:rsid w:val="00AA486C"/>
    <w:rsid w:val="00AA4E3B"/>
    <w:rsid w:val="00AA540F"/>
    <w:rsid w:val="00AA5BA0"/>
    <w:rsid w:val="00AA6584"/>
    <w:rsid w:val="00AB4194"/>
    <w:rsid w:val="00AB46FB"/>
    <w:rsid w:val="00AB4A62"/>
    <w:rsid w:val="00AC0931"/>
    <w:rsid w:val="00AC1DAC"/>
    <w:rsid w:val="00AC3A91"/>
    <w:rsid w:val="00AC4852"/>
    <w:rsid w:val="00AC4F3E"/>
    <w:rsid w:val="00AD05CB"/>
    <w:rsid w:val="00AD0C77"/>
    <w:rsid w:val="00AD22F4"/>
    <w:rsid w:val="00AD40C8"/>
    <w:rsid w:val="00AD421C"/>
    <w:rsid w:val="00AD5614"/>
    <w:rsid w:val="00AD585C"/>
    <w:rsid w:val="00AE001E"/>
    <w:rsid w:val="00AE0D77"/>
    <w:rsid w:val="00AE0DAF"/>
    <w:rsid w:val="00AE0F3F"/>
    <w:rsid w:val="00AE2A58"/>
    <w:rsid w:val="00AE3FD1"/>
    <w:rsid w:val="00AE4DAF"/>
    <w:rsid w:val="00AE4FAB"/>
    <w:rsid w:val="00AE681B"/>
    <w:rsid w:val="00AE7178"/>
    <w:rsid w:val="00AF01B6"/>
    <w:rsid w:val="00AF236E"/>
    <w:rsid w:val="00AF3353"/>
    <w:rsid w:val="00AF3CA5"/>
    <w:rsid w:val="00AF47FC"/>
    <w:rsid w:val="00AF62D5"/>
    <w:rsid w:val="00AF6BBE"/>
    <w:rsid w:val="00B02FDF"/>
    <w:rsid w:val="00B033FA"/>
    <w:rsid w:val="00B0691D"/>
    <w:rsid w:val="00B07EE9"/>
    <w:rsid w:val="00B11D3E"/>
    <w:rsid w:val="00B16637"/>
    <w:rsid w:val="00B23637"/>
    <w:rsid w:val="00B33108"/>
    <w:rsid w:val="00B45A0E"/>
    <w:rsid w:val="00B45E42"/>
    <w:rsid w:val="00B5323C"/>
    <w:rsid w:val="00B57575"/>
    <w:rsid w:val="00B603A1"/>
    <w:rsid w:val="00B607EB"/>
    <w:rsid w:val="00B60C69"/>
    <w:rsid w:val="00B60FD4"/>
    <w:rsid w:val="00B6438F"/>
    <w:rsid w:val="00B643F1"/>
    <w:rsid w:val="00B65815"/>
    <w:rsid w:val="00B6754F"/>
    <w:rsid w:val="00B72155"/>
    <w:rsid w:val="00B74319"/>
    <w:rsid w:val="00B776EA"/>
    <w:rsid w:val="00B82094"/>
    <w:rsid w:val="00B835E7"/>
    <w:rsid w:val="00B84716"/>
    <w:rsid w:val="00B84A5F"/>
    <w:rsid w:val="00B86511"/>
    <w:rsid w:val="00B86E48"/>
    <w:rsid w:val="00B93981"/>
    <w:rsid w:val="00B94A3B"/>
    <w:rsid w:val="00B95B4B"/>
    <w:rsid w:val="00B96B81"/>
    <w:rsid w:val="00BA5462"/>
    <w:rsid w:val="00BA73CD"/>
    <w:rsid w:val="00BB3BD4"/>
    <w:rsid w:val="00BB74AA"/>
    <w:rsid w:val="00BC20F4"/>
    <w:rsid w:val="00BC3A0E"/>
    <w:rsid w:val="00BC59FF"/>
    <w:rsid w:val="00BD11EF"/>
    <w:rsid w:val="00BD154C"/>
    <w:rsid w:val="00BD65F6"/>
    <w:rsid w:val="00BE3CEF"/>
    <w:rsid w:val="00BE7B58"/>
    <w:rsid w:val="00BF019B"/>
    <w:rsid w:val="00BF34CD"/>
    <w:rsid w:val="00BF45B3"/>
    <w:rsid w:val="00BF677A"/>
    <w:rsid w:val="00C01F05"/>
    <w:rsid w:val="00C0442D"/>
    <w:rsid w:val="00C0594B"/>
    <w:rsid w:val="00C05F8B"/>
    <w:rsid w:val="00C064EC"/>
    <w:rsid w:val="00C07125"/>
    <w:rsid w:val="00C07E75"/>
    <w:rsid w:val="00C07E79"/>
    <w:rsid w:val="00C107A2"/>
    <w:rsid w:val="00C111D2"/>
    <w:rsid w:val="00C13DE6"/>
    <w:rsid w:val="00C15BE6"/>
    <w:rsid w:val="00C249B2"/>
    <w:rsid w:val="00C2547E"/>
    <w:rsid w:val="00C26D7D"/>
    <w:rsid w:val="00C3105C"/>
    <w:rsid w:val="00C323D1"/>
    <w:rsid w:val="00C3342D"/>
    <w:rsid w:val="00C42FBE"/>
    <w:rsid w:val="00C46AC9"/>
    <w:rsid w:val="00C47BC6"/>
    <w:rsid w:val="00C51363"/>
    <w:rsid w:val="00C51CAF"/>
    <w:rsid w:val="00C56CAE"/>
    <w:rsid w:val="00C570F7"/>
    <w:rsid w:val="00C57D23"/>
    <w:rsid w:val="00C60A22"/>
    <w:rsid w:val="00C64E99"/>
    <w:rsid w:val="00C65EBA"/>
    <w:rsid w:val="00C666A1"/>
    <w:rsid w:val="00C66F70"/>
    <w:rsid w:val="00C67099"/>
    <w:rsid w:val="00C731C4"/>
    <w:rsid w:val="00C773D3"/>
    <w:rsid w:val="00C819BC"/>
    <w:rsid w:val="00C84E5E"/>
    <w:rsid w:val="00C85097"/>
    <w:rsid w:val="00C866AB"/>
    <w:rsid w:val="00C90193"/>
    <w:rsid w:val="00C933C7"/>
    <w:rsid w:val="00C9445E"/>
    <w:rsid w:val="00CA2E56"/>
    <w:rsid w:val="00CA4207"/>
    <w:rsid w:val="00CA664F"/>
    <w:rsid w:val="00CA6C9C"/>
    <w:rsid w:val="00CA7A1C"/>
    <w:rsid w:val="00CB3CB7"/>
    <w:rsid w:val="00CB4061"/>
    <w:rsid w:val="00CC1901"/>
    <w:rsid w:val="00CC4D80"/>
    <w:rsid w:val="00CC7777"/>
    <w:rsid w:val="00CD45DB"/>
    <w:rsid w:val="00CD59A2"/>
    <w:rsid w:val="00CE24DE"/>
    <w:rsid w:val="00CE3A9D"/>
    <w:rsid w:val="00CF24A3"/>
    <w:rsid w:val="00CF27C6"/>
    <w:rsid w:val="00CF5A31"/>
    <w:rsid w:val="00D04F03"/>
    <w:rsid w:val="00D05FE7"/>
    <w:rsid w:val="00D13FBC"/>
    <w:rsid w:val="00D166A1"/>
    <w:rsid w:val="00D16797"/>
    <w:rsid w:val="00D176B4"/>
    <w:rsid w:val="00D212CB"/>
    <w:rsid w:val="00D237EC"/>
    <w:rsid w:val="00D26A61"/>
    <w:rsid w:val="00D35E11"/>
    <w:rsid w:val="00D412F6"/>
    <w:rsid w:val="00D423F3"/>
    <w:rsid w:val="00D46604"/>
    <w:rsid w:val="00D46BFF"/>
    <w:rsid w:val="00D47A24"/>
    <w:rsid w:val="00D515BB"/>
    <w:rsid w:val="00D52AF5"/>
    <w:rsid w:val="00D543EE"/>
    <w:rsid w:val="00D54CC3"/>
    <w:rsid w:val="00D5562D"/>
    <w:rsid w:val="00D556F1"/>
    <w:rsid w:val="00D55997"/>
    <w:rsid w:val="00D60213"/>
    <w:rsid w:val="00D6125B"/>
    <w:rsid w:val="00D62642"/>
    <w:rsid w:val="00D64238"/>
    <w:rsid w:val="00D66E01"/>
    <w:rsid w:val="00D7017F"/>
    <w:rsid w:val="00D70B12"/>
    <w:rsid w:val="00D720A2"/>
    <w:rsid w:val="00D73649"/>
    <w:rsid w:val="00D73CFC"/>
    <w:rsid w:val="00D77C59"/>
    <w:rsid w:val="00D77D76"/>
    <w:rsid w:val="00D91212"/>
    <w:rsid w:val="00D9137A"/>
    <w:rsid w:val="00D91B9F"/>
    <w:rsid w:val="00D9297D"/>
    <w:rsid w:val="00D93041"/>
    <w:rsid w:val="00D9371B"/>
    <w:rsid w:val="00D9378C"/>
    <w:rsid w:val="00D955D1"/>
    <w:rsid w:val="00D96B89"/>
    <w:rsid w:val="00DA1966"/>
    <w:rsid w:val="00DA2200"/>
    <w:rsid w:val="00DA2B66"/>
    <w:rsid w:val="00DA3A1F"/>
    <w:rsid w:val="00DA4419"/>
    <w:rsid w:val="00DA7BA3"/>
    <w:rsid w:val="00DB091F"/>
    <w:rsid w:val="00DB2565"/>
    <w:rsid w:val="00DB7295"/>
    <w:rsid w:val="00DC06B6"/>
    <w:rsid w:val="00DC0859"/>
    <w:rsid w:val="00DC08A4"/>
    <w:rsid w:val="00DC3039"/>
    <w:rsid w:val="00DC534F"/>
    <w:rsid w:val="00DC6A12"/>
    <w:rsid w:val="00DD2665"/>
    <w:rsid w:val="00DD3061"/>
    <w:rsid w:val="00DD4B44"/>
    <w:rsid w:val="00DD6CE0"/>
    <w:rsid w:val="00DD6F7E"/>
    <w:rsid w:val="00DE68B4"/>
    <w:rsid w:val="00DE70DE"/>
    <w:rsid w:val="00DE73BE"/>
    <w:rsid w:val="00DF2EB5"/>
    <w:rsid w:val="00DF510D"/>
    <w:rsid w:val="00DF6E91"/>
    <w:rsid w:val="00E00D79"/>
    <w:rsid w:val="00E02879"/>
    <w:rsid w:val="00E07401"/>
    <w:rsid w:val="00E10369"/>
    <w:rsid w:val="00E110D0"/>
    <w:rsid w:val="00E13080"/>
    <w:rsid w:val="00E130BC"/>
    <w:rsid w:val="00E17FC4"/>
    <w:rsid w:val="00E21B94"/>
    <w:rsid w:val="00E21DC9"/>
    <w:rsid w:val="00E2262C"/>
    <w:rsid w:val="00E23A95"/>
    <w:rsid w:val="00E24352"/>
    <w:rsid w:val="00E27ABF"/>
    <w:rsid w:val="00E27C47"/>
    <w:rsid w:val="00E31553"/>
    <w:rsid w:val="00E328B1"/>
    <w:rsid w:val="00E3316D"/>
    <w:rsid w:val="00E338FB"/>
    <w:rsid w:val="00E40B77"/>
    <w:rsid w:val="00E40E99"/>
    <w:rsid w:val="00E43893"/>
    <w:rsid w:val="00E448C5"/>
    <w:rsid w:val="00E456E5"/>
    <w:rsid w:val="00E46288"/>
    <w:rsid w:val="00E47F7D"/>
    <w:rsid w:val="00E52760"/>
    <w:rsid w:val="00E52BD9"/>
    <w:rsid w:val="00E53EAF"/>
    <w:rsid w:val="00E55F28"/>
    <w:rsid w:val="00E55F90"/>
    <w:rsid w:val="00E625F3"/>
    <w:rsid w:val="00E677F1"/>
    <w:rsid w:val="00E76AE7"/>
    <w:rsid w:val="00E806A8"/>
    <w:rsid w:val="00E8121A"/>
    <w:rsid w:val="00E8293E"/>
    <w:rsid w:val="00E84E01"/>
    <w:rsid w:val="00E91A72"/>
    <w:rsid w:val="00E92A4F"/>
    <w:rsid w:val="00E9302D"/>
    <w:rsid w:val="00E93F72"/>
    <w:rsid w:val="00E966FC"/>
    <w:rsid w:val="00EA05CD"/>
    <w:rsid w:val="00EA0CA1"/>
    <w:rsid w:val="00EA31E7"/>
    <w:rsid w:val="00EA416C"/>
    <w:rsid w:val="00EB019D"/>
    <w:rsid w:val="00EB0790"/>
    <w:rsid w:val="00EB0D4B"/>
    <w:rsid w:val="00EB0D64"/>
    <w:rsid w:val="00EB114A"/>
    <w:rsid w:val="00EB3F7F"/>
    <w:rsid w:val="00EB4603"/>
    <w:rsid w:val="00EB4972"/>
    <w:rsid w:val="00EB5AA7"/>
    <w:rsid w:val="00EC1F94"/>
    <w:rsid w:val="00EC4018"/>
    <w:rsid w:val="00EC5CF1"/>
    <w:rsid w:val="00EC7F30"/>
    <w:rsid w:val="00ED1A93"/>
    <w:rsid w:val="00EE07DC"/>
    <w:rsid w:val="00EE3209"/>
    <w:rsid w:val="00EE7746"/>
    <w:rsid w:val="00EE7ACB"/>
    <w:rsid w:val="00EE7D39"/>
    <w:rsid w:val="00EF2FC2"/>
    <w:rsid w:val="00EF4F04"/>
    <w:rsid w:val="00EF5402"/>
    <w:rsid w:val="00EF574B"/>
    <w:rsid w:val="00F01604"/>
    <w:rsid w:val="00F01DC5"/>
    <w:rsid w:val="00F07140"/>
    <w:rsid w:val="00F079D5"/>
    <w:rsid w:val="00F10816"/>
    <w:rsid w:val="00F11D8D"/>
    <w:rsid w:val="00F139D1"/>
    <w:rsid w:val="00F14854"/>
    <w:rsid w:val="00F15012"/>
    <w:rsid w:val="00F159D0"/>
    <w:rsid w:val="00F213DB"/>
    <w:rsid w:val="00F2517B"/>
    <w:rsid w:val="00F26727"/>
    <w:rsid w:val="00F307D9"/>
    <w:rsid w:val="00F325D5"/>
    <w:rsid w:val="00F33598"/>
    <w:rsid w:val="00F36333"/>
    <w:rsid w:val="00F417D9"/>
    <w:rsid w:val="00F43081"/>
    <w:rsid w:val="00F45CC3"/>
    <w:rsid w:val="00F47EAE"/>
    <w:rsid w:val="00F50DAC"/>
    <w:rsid w:val="00F51D4A"/>
    <w:rsid w:val="00F53F74"/>
    <w:rsid w:val="00F54ADC"/>
    <w:rsid w:val="00F57744"/>
    <w:rsid w:val="00F5788C"/>
    <w:rsid w:val="00F607E1"/>
    <w:rsid w:val="00F64F18"/>
    <w:rsid w:val="00F67DFB"/>
    <w:rsid w:val="00F72104"/>
    <w:rsid w:val="00F75640"/>
    <w:rsid w:val="00F777E0"/>
    <w:rsid w:val="00F93CD7"/>
    <w:rsid w:val="00F94689"/>
    <w:rsid w:val="00FA0531"/>
    <w:rsid w:val="00FA1CE2"/>
    <w:rsid w:val="00FA25EE"/>
    <w:rsid w:val="00FA4DED"/>
    <w:rsid w:val="00FB147B"/>
    <w:rsid w:val="00FB3A97"/>
    <w:rsid w:val="00FB649D"/>
    <w:rsid w:val="00FC63DE"/>
    <w:rsid w:val="00FC7562"/>
    <w:rsid w:val="00FD1409"/>
    <w:rsid w:val="00FE18A2"/>
    <w:rsid w:val="00FE6617"/>
    <w:rsid w:val="00FE7A3C"/>
    <w:rsid w:val="00FF0EA7"/>
    <w:rsid w:val="00FF4D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strokecolor="#528cc1">
      <v:stroke color="#528cc1" weight="1pt"/>
    </o:shapedefaults>
    <o:shapelayout v:ext="edit">
      <o:idmap v:ext="edit" data="1"/>
      <o:rules v:ext="edit">
        <o:r id="V:Rule4" type="connector" idref="#Straight Arrow Connector 22"/>
        <o:r id="V:Rule5" type="connector" idref="#AutoShape 3"/>
        <o:r id="V:Rule6" type="connector" idref="#Straight Arrow Connector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BBC"/>
  </w:style>
  <w:style w:type="paragraph" w:styleId="Heading1">
    <w:name w:val="heading 1"/>
    <w:basedOn w:val="Normal"/>
    <w:next w:val="Normal"/>
    <w:link w:val="Heading1Char"/>
    <w:uiPriority w:val="9"/>
    <w:qFormat/>
    <w:rsid w:val="003362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PRApagenumber">
    <w:name w:val="AHPRA page number"/>
    <w:basedOn w:val="AHPRAfooter"/>
    <w:rsid w:val="001F3F4D"/>
    <w:pPr>
      <w:jc w:val="right"/>
    </w:pPr>
  </w:style>
  <w:style w:type="paragraph" w:customStyle="1" w:styleId="AHPRAfooter">
    <w:name w:val="AHPRA footer"/>
    <w:basedOn w:val="FootnoteText"/>
    <w:rsid w:val="001F3F4D"/>
    <w:rPr>
      <w:rFonts w:ascii="Arial" w:eastAsia="Times New Roman" w:hAnsi="Arial" w:cs="Arial"/>
      <w:color w:val="5F6062"/>
      <w:sz w:val="18"/>
    </w:rPr>
  </w:style>
  <w:style w:type="paragraph" w:customStyle="1" w:styleId="AHPRAfirstpagefooter">
    <w:name w:val="AHPRA first page footer"/>
    <w:basedOn w:val="AHPRAfooter"/>
    <w:rsid w:val="001F3F4D"/>
    <w:pPr>
      <w:jc w:val="center"/>
    </w:pPr>
    <w:rPr>
      <w:b/>
    </w:rPr>
  </w:style>
  <w:style w:type="paragraph" w:customStyle="1" w:styleId="AHPRAfootnote">
    <w:name w:val="AHPRA footnote"/>
    <w:basedOn w:val="Normal"/>
    <w:rsid w:val="001F3F4D"/>
    <w:pPr>
      <w:spacing w:after="120" w:line="240" w:lineRule="auto"/>
    </w:pPr>
    <w:rPr>
      <w:rFonts w:ascii="Arial" w:eastAsia="Times New Roman" w:hAnsi="Arial" w:cs="Times New Roman"/>
      <w:sz w:val="18"/>
      <w:szCs w:val="18"/>
    </w:rPr>
  </w:style>
  <w:style w:type="paragraph" w:styleId="FootnoteText">
    <w:name w:val="footnote text"/>
    <w:basedOn w:val="Normal"/>
    <w:link w:val="FootnoteTextChar"/>
    <w:uiPriority w:val="99"/>
    <w:unhideWhenUsed/>
    <w:rsid w:val="001F3F4D"/>
    <w:pPr>
      <w:spacing w:after="0" w:line="240" w:lineRule="auto"/>
    </w:pPr>
    <w:rPr>
      <w:sz w:val="20"/>
      <w:szCs w:val="20"/>
    </w:rPr>
  </w:style>
  <w:style w:type="character" w:customStyle="1" w:styleId="FootnoteTextChar">
    <w:name w:val="Footnote Text Char"/>
    <w:basedOn w:val="DefaultParagraphFont"/>
    <w:link w:val="FootnoteText"/>
    <w:uiPriority w:val="99"/>
    <w:rsid w:val="001F3F4D"/>
    <w:rPr>
      <w:sz w:val="20"/>
      <w:szCs w:val="20"/>
    </w:rPr>
  </w:style>
  <w:style w:type="paragraph" w:styleId="Header">
    <w:name w:val="header"/>
    <w:basedOn w:val="Normal"/>
    <w:link w:val="HeaderChar"/>
    <w:uiPriority w:val="99"/>
    <w:unhideWhenUsed/>
    <w:rsid w:val="00A62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2B"/>
  </w:style>
  <w:style w:type="character" w:styleId="FootnoteReference">
    <w:name w:val="footnote reference"/>
    <w:basedOn w:val="DefaultParagraphFont"/>
    <w:uiPriority w:val="99"/>
    <w:unhideWhenUsed/>
    <w:rsid w:val="00A6222B"/>
    <w:rPr>
      <w:rFonts w:ascii="Arial" w:hAnsi="Arial" w:cs="Times New Roman"/>
      <w:color w:val="auto"/>
      <w:sz w:val="18"/>
      <w:vertAlign w:val="superscript"/>
    </w:rPr>
  </w:style>
  <w:style w:type="paragraph" w:styleId="Footer">
    <w:name w:val="footer"/>
    <w:basedOn w:val="Normal"/>
    <w:link w:val="FooterChar"/>
    <w:uiPriority w:val="99"/>
    <w:unhideWhenUsed/>
    <w:rsid w:val="00A62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22B"/>
  </w:style>
  <w:style w:type="paragraph" w:customStyle="1" w:styleId="AHPRAbody">
    <w:name w:val="AHPRA body"/>
    <w:basedOn w:val="Normal"/>
    <w:link w:val="AHPRAbodyChar"/>
    <w:qFormat/>
    <w:rsid w:val="00A6222B"/>
    <w:pPr>
      <w:spacing w:after="200" w:line="240" w:lineRule="auto"/>
    </w:pPr>
    <w:rPr>
      <w:rFonts w:ascii="Arial MT Lt" w:eastAsia="Times New Roman" w:hAnsi="Arial MT Lt" w:cs="Times New Roman"/>
      <w:sz w:val="20"/>
      <w:szCs w:val="24"/>
    </w:rPr>
  </w:style>
  <w:style w:type="paragraph" w:customStyle="1" w:styleId="AHPRAHeadline">
    <w:name w:val="AHPRA Headline"/>
    <w:basedOn w:val="Normal"/>
    <w:qFormat/>
    <w:rsid w:val="00A6222B"/>
    <w:pPr>
      <w:spacing w:after="200" w:line="240" w:lineRule="auto"/>
    </w:pPr>
    <w:rPr>
      <w:rFonts w:ascii="Arial" w:eastAsia="Times New Roman" w:hAnsi="Arial" w:cs="Times New Roman"/>
      <w:color w:val="008EC4"/>
      <w:sz w:val="28"/>
      <w:szCs w:val="24"/>
    </w:rPr>
  </w:style>
  <w:style w:type="character" w:styleId="PageNumber">
    <w:name w:val="page number"/>
    <w:basedOn w:val="DefaultParagraphFont"/>
    <w:rsid w:val="00A6222B"/>
    <w:rPr>
      <w:rFonts w:cs="Times New Roman"/>
    </w:rPr>
  </w:style>
  <w:style w:type="paragraph" w:customStyle="1" w:styleId="Default">
    <w:name w:val="Default"/>
    <w:rsid w:val="00F2517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2517B"/>
    <w:rPr>
      <w:color w:val="0563C1" w:themeColor="hyperlink"/>
      <w:u w:val="single"/>
    </w:rPr>
  </w:style>
  <w:style w:type="paragraph" w:styleId="ListParagraph">
    <w:name w:val="List Paragraph"/>
    <w:basedOn w:val="Normal"/>
    <w:link w:val="ListParagraphChar"/>
    <w:uiPriority w:val="34"/>
    <w:qFormat/>
    <w:rsid w:val="00C47BC6"/>
    <w:pPr>
      <w:ind w:left="720"/>
      <w:contextualSpacing/>
    </w:pPr>
  </w:style>
  <w:style w:type="paragraph" w:styleId="CommentText">
    <w:name w:val="annotation text"/>
    <w:basedOn w:val="Normal"/>
    <w:link w:val="CommentTextChar"/>
    <w:uiPriority w:val="99"/>
    <w:semiHidden/>
    <w:unhideWhenUsed/>
    <w:rsid w:val="008B54C1"/>
    <w:pPr>
      <w:spacing w:line="240" w:lineRule="auto"/>
    </w:pPr>
    <w:rPr>
      <w:sz w:val="20"/>
      <w:szCs w:val="20"/>
    </w:rPr>
  </w:style>
  <w:style w:type="character" w:customStyle="1" w:styleId="CommentTextChar">
    <w:name w:val="Comment Text Char"/>
    <w:basedOn w:val="DefaultParagraphFont"/>
    <w:link w:val="CommentText"/>
    <w:uiPriority w:val="99"/>
    <w:semiHidden/>
    <w:rsid w:val="008B54C1"/>
    <w:rPr>
      <w:sz w:val="20"/>
      <w:szCs w:val="20"/>
    </w:rPr>
  </w:style>
  <w:style w:type="character" w:styleId="CommentReference">
    <w:name w:val="annotation reference"/>
    <w:basedOn w:val="DefaultParagraphFont"/>
    <w:uiPriority w:val="99"/>
    <w:semiHidden/>
    <w:rsid w:val="008B54C1"/>
    <w:rPr>
      <w:rFonts w:cs="Times New Roman"/>
      <w:sz w:val="16"/>
    </w:rPr>
  </w:style>
  <w:style w:type="paragraph" w:styleId="BalloonText">
    <w:name w:val="Balloon Text"/>
    <w:basedOn w:val="Normal"/>
    <w:link w:val="BalloonTextChar"/>
    <w:uiPriority w:val="99"/>
    <w:semiHidden/>
    <w:unhideWhenUsed/>
    <w:rsid w:val="008B5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4C1"/>
    <w:rPr>
      <w:rFonts w:ascii="Segoe UI" w:hAnsi="Segoe UI" w:cs="Segoe UI"/>
      <w:sz w:val="18"/>
      <w:szCs w:val="18"/>
    </w:rPr>
  </w:style>
  <w:style w:type="paragraph" w:customStyle="1" w:styleId="AHPRASubheading">
    <w:name w:val="AHPRA Subheading"/>
    <w:basedOn w:val="Normal"/>
    <w:qFormat/>
    <w:rsid w:val="00092320"/>
    <w:pPr>
      <w:spacing w:before="200" w:after="200" w:line="240" w:lineRule="auto"/>
    </w:pPr>
    <w:rPr>
      <w:rFonts w:ascii="Arial" w:eastAsia="Cambria" w:hAnsi="Arial" w:cs="Times New Roman"/>
      <w:b/>
      <w:color w:val="008EC4"/>
      <w:sz w:val="20"/>
      <w:szCs w:val="24"/>
      <w:lang w:val="en-US"/>
    </w:rPr>
  </w:style>
  <w:style w:type="paragraph" w:customStyle="1" w:styleId="AHPRATitle">
    <w:name w:val="AHPRA Title"/>
    <w:basedOn w:val="Normal"/>
    <w:next w:val="AHPRAHeadline"/>
    <w:uiPriority w:val="99"/>
    <w:qFormat/>
    <w:rsid w:val="009F0A30"/>
    <w:pPr>
      <w:spacing w:after="200" w:line="240" w:lineRule="auto"/>
      <w:outlineLvl w:val="0"/>
    </w:pPr>
    <w:rPr>
      <w:rFonts w:ascii="Arial" w:eastAsia="Cambria" w:hAnsi="Arial" w:cs="Arial"/>
      <w:color w:val="808080"/>
      <w:sz w:val="44"/>
      <w:szCs w:val="52"/>
      <w:lang w:val="en-US"/>
    </w:rPr>
  </w:style>
  <w:style w:type="character" w:customStyle="1" w:styleId="AHPRAbodyChar">
    <w:name w:val="AHPRA body Char"/>
    <w:basedOn w:val="DefaultParagraphFont"/>
    <w:link w:val="AHPRAbody"/>
    <w:rsid w:val="009F0A30"/>
    <w:rPr>
      <w:rFonts w:ascii="Arial MT Lt" w:eastAsia="Times New Roman" w:hAnsi="Arial MT Lt" w:cs="Times New Roman"/>
      <w:sz w:val="20"/>
      <w:szCs w:val="24"/>
    </w:rPr>
  </w:style>
  <w:style w:type="paragraph" w:customStyle="1" w:styleId="AHPRASubhead">
    <w:name w:val="AHPRA Subhead"/>
    <w:basedOn w:val="Normal"/>
    <w:qFormat/>
    <w:rsid w:val="009F0A30"/>
    <w:pPr>
      <w:spacing w:after="200" w:line="240" w:lineRule="auto"/>
    </w:pPr>
    <w:rPr>
      <w:rFonts w:ascii="Arial" w:eastAsia="Cambria" w:hAnsi="Arial" w:cs="Times New Roman"/>
      <w:b/>
      <w:color w:val="008EC4"/>
      <w:sz w:val="20"/>
      <w:szCs w:val="24"/>
      <w:lang w:val="en-US"/>
    </w:rPr>
  </w:style>
  <w:style w:type="paragraph" w:customStyle="1" w:styleId="AHPRASubheadinglevel2">
    <w:name w:val="AHPRA Subheading level 2"/>
    <w:basedOn w:val="AHPRASubheading"/>
    <w:next w:val="Normal"/>
    <w:qFormat/>
    <w:rsid w:val="0037590F"/>
    <w:rPr>
      <w:color w:val="auto"/>
    </w:rPr>
  </w:style>
  <w:style w:type="paragraph" w:customStyle="1" w:styleId="AHPRASubheadinglevel3">
    <w:name w:val="AHPRA Subheading level 3"/>
    <w:basedOn w:val="AHPRASubheading"/>
    <w:next w:val="Normal"/>
    <w:qFormat/>
    <w:rsid w:val="0037590F"/>
    <w:rPr>
      <w:b w:val="0"/>
      <w:i/>
    </w:rPr>
  </w:style>
  <w:style w:type="paragraph" w:styleId="TOC1">
    <w:name w:val="toc 1"/>
    <w:basedOn w:val="Normal"/>
    <w:next w:val="Normal"/>
    <w:autoRedefine/>
    <w:uiPriority w:val="39"/>
    <w:unhideWhenUsed/>
    <w:rsid w:val="00A00585"/>
    <w:pPr>
      <w:tabs>
        <w:tab w:val="right" w:leader="dot" w:pos="9016"/>
      </w:tabs>
      <w:spacing w:after="100"/>
    </w:pPr>
  </w:style>
  <w:style w:type="paragraph" w:styleId="DocumentMap">
    <w:name w:val="Document Map"/>
    <w:basedOn w:val="Normal"/>
    <w:link w:val="DocumentMapChar"/>
    <w:uiPriority w:val="99"/>
    <w:semiHidden/>
    <w:unhideWhenUsed/>
    <w:rsid w:val="003A2E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A2EA2"/>
    <w:rPr>
      <w:rFonts w:ascii="Tahoma" w:hAnsi="Tahoma" w:cs="Tahoma"/>
      <w:sz w:val="16"/>
      <w:szCs w:val="16"/>
    </w:rPr>
  </w:style>
  <w:style w:type="character" w:customStyle="1" w:styleId="Heading1Char">
    <w:name w:val="Heading 1 Char"/>
    <w:basedOn w:val="DefaultParagraphFont"/>
    <w:link w:val="Heading1"/>
    <w:uiPriority w:val="9"/>
    <w:rsid w:val="0033628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3628C"/>
    <w:pPr>
      <w:outlineLvl w:val="9"/>
    </w:pPr>
    <w:rPr>
      <w:lang w:val="en-US"/>
    </w:rPr>
  </w:style>
  <w:style w:type="paragraph" w:customStyle="1" w:styleId="TableText">
    <w:name w:val="TableText"/>
    <w:basedOn w:val="Normal"/>
    <w:uiPriority w:val="99"/>
    <w:rsid w:val="00271A18"/>
    <w:pPr>
      <w:keepNext/>
      <w:spacing w:before="120" w:after="120" w:line="240" w:lineRule="auto"/>
    </w:pPr>
    <w:rPr>
      <w:rFonts w:ascii="Helvetica Narrow" w:eastAsia="Calibri" w:hAnsi="Helvetica Narrow" w:cs="Times New Roman"/>
      <w:color w:val="000000"/>
      <w:sz w:val="20"/>
      <w:szCs w:val="24"/>
    </w:rPr>
  </w:style>
  <w:style w:type="paragraph" w:styleId="TOC2">
    <w:name w:val="toc 2"/>
    <w:basedOn w:val="Normal"/>
    <w:next w:val="Normal"/>
    <w:autoRedefine/>
    <w:uiPriority w:val="39"/>
    <w:unhideWhenUsed/>
    <w:rsid w:val="000A347D"/>
    <w:pPr>
      <w:tabs>
        <w:tab w:val="right" w:leader="dot" w:pos="8364"/>
      </w:tabs>
      <w:spacing w:after="100"/>
      <w:ind w:right="521"/>
    </w:pPr>
    <w:rPr>
      <w:rFonts w:ascii="Arial" w:hAnsi="Arial" w:cs="Arial"/>
      <w:bCs/>
      <w:noProof/>
      <w:lang w:eastAsia="en-AU"/>
    </w:rPr>
  </w:style>
  <w:style w:type="paragraph" w:styleId="TOC3">
    <w:name w:val="toc 3"/>
    <w:basedOn w:val="Normal"/>
    <w:next w:val="Normal"/>
    <w:autoRedefine/>
    <w:uiPriority w:val="39"/>
    <w:unhideWhenUsed/>
    <w:rsid w:val="003A54B0"/>
    <w:pPr>
      <w:spacing w:after="100"/>
      <w:ind w:left="440"/>
    </w:pPr>
    <w:rPr>
      <w:rFonts w:eastAsiaTheme="minorEastAsia"/>
      <w:lang w:eastAsia="en-AU"/>
    </w:rPr>
  </w:style>
  <w:style w:type="paragraph" w:styleId="TOC4">
    <w:name w:val="toc 4"/>
    <w:basedOn w:val="Normal"/>
    <w:next w:val="Normal"/>
    <w:autoRedefine/>
    <w:uiPriority w:val="39"/>
    <w:unhideWhenUsed/>
    <w:rsid w:val="003A54B0"/>
    <w:pPr>
      <w:spacing w:after="100"/>
      <w:ind w:left="660"/>
    </w:pPr>
    <w:rPr>
      <w:rFonts w:eastAsiaTheme="minorEastAsia"/>
      <w:lang w:eastAsia="en-AU"/>
    </w:rPr>
  </w:style>
  <w:style w:type="paragraph" w:styleId="TOC5">
    <w:name w:val="toc 5"/>
    <w:basedOn w:val="Normal"/>
    <w:next w:val="Normal"/>
    <w:autoRedefine/>
    <w:uiPriority w:val="39"/>
    <w:unhideWhenUsed/>
    <w:rsid w:val="003A54B0"/>
    <w:pPr>
      <w:spacing w:after="100"/>
      <w:ind w:left="880"/>
    </w:pPr>
    <w:rPr>
      <w:rFonts w:eastAsiaTheme="minorEastAsia"/>
      <w:lang w:eastAsia="en-AU"/>
    </w:rPr>
  </w:style>
  <w:style w:type="paragraph" w:styleId="TOC6">
    <w:name w:val="toc 6"/>
    <w:basedOn w:val="Normal"/>
    <w:next w:val="Normal"/>
    <w:autoRedefine/>
    <w:uiPriority w:val="39"/>
    <w:unhideWhenUsed/>
    <w:rsid w:val="003A54B0"/>
    <w:pPr>
      <w:spacing w:after="100"/>
      <w:ind w:left="1100"/>
    </w:pPr>
    <w:rPr>
      <w:rFonts w:eastAsiaTheme="minorEastAsia"/>
      <w:lang w:eastAsia="en-AU"/>
    </w:rPr>
  </w:style>
  <w:style w:type="paragraph" w:styleId="TOC7">
    <w:name w:val="toc 7"/>
    <w:basedOn w:val="Normal"/>
    <w:next w:val="Normal"/>
    <w:autoRedefine/>
    <w:uiPriority w:val="39"/>
    <w:unhideWhenUsed/>
    <w:rsid w:val="003A54B0"/>
    <w:pPr>
      <w:spacing w:after="100"/>
      <w:ind w:left="1320"/>
    </w:pPr>
    <w:rPr>
      <w:rFonts w:eastAsiaTheme="minorEastAsia"/>
      <w:lang w:eastAsia="en-AU"/>
    </w:rPr>
  </w:style>
  <w:style w:type="paragraph" w:styleId="TOC8">
    <w:name w:val="toc 8"/>
    <w:basedOn w:val="Normal"/>
    <w:next w:val="Normal"/>
    <w:autoRedefine/>
    <w:uiPriority w:val="39"/>
    <w:unhideWhenUsed/>
    <w:rsid w:val="003A54B0"/>
    <w:pPr>
      <w:spacing w:after="100"/>
      <w:ind w:left="1540"/>
    </w:pPr>
    <w:rPr>
      <w:rFonts w:eastAsiaTheme="minorEastAsia"/>
      <w:lang w:eastAsia="en-AU"/>
    </w:rPr>
  </w:style>
  <w:style w:type="paragraph" w:styleId="TOC9">
    <w:name w:val="toc 9"/>
    <w:basedOn w:val="Normal"/>
    <w:next w:val="Normal"/>
    <w:autoRedefine/>
    <w:uiPriority w:val="39"/>
    <w:unhideWhenUsed/>
    <w:rsid w:val="003A54B0"/>
    <w:pPr>
      <w:spacing w:after="100"/>
      <w:ind w:left="1760"/>
    </w:pPr>
    <w:rPr>
      <w:rFonts w:eastAsiaTheme="minorEastAsia"/>
      <w:lang w:eastAsia="en-AU"/>
    </w:rPr>
  </w:style>
  <w:style w:type="paragraph" w:styleId="CommentSubject">
    <w:name w:val="annotation subject"/>
    <w:basedOn w:val="CommentText"/>
    <w:next w:val="CommentText"/>
    <w:link w:val="CommentSubjectChar"/>
    <w:uiPriority w:val="99"/>
    <w:semiHidden/>
    <w:unhideWhenUsed/>
    <w:rsid w:val="0030738B"/>
    <w:rPr>
      <w:b/>
      <w:bCs/>
    </w:rPr>
  </w:style>
  <w:style w:type="character" w:customStyle="1" w:styleId="CommentSubjectChar">
    <w:name w:val="Comment Subject Char"/>
    <w:basedOn w:val="CommentTextChar"/>
    <w:link w:val="CommentSubject"/>
    <w:uiPriority w:val="99"/>
    <w:semiHidden/>
    <w:rsid w:val="0030738B"/>
    <w:rPr>
      <w:b/>
      <w:bCs/>
      <w:sz w:val="20"/>
      <w:szCs w:val="20"/>
    </w:rPr>
  </w:style>
  <w:style w:type="paragraph" w:styleId="Revision">
    <w:name w:val="Revision"/>
    <w:hidden/>
    <w:uiPriority w:val="99"/>
    <w:semiHidden/>
    <w:rsid w:val="00870BCA"/>
    <w:pPr>
      <w:spacing w:after="0" w:line="240" w:lineRule="auto"/>
    </w:pPr>
  </w:style>
  <w:style w:type="paragraph" w:styleId="NormalWeb">
    <w:name w:val="Normal (Web)"/>
    <w:basedOn w:val="Normal"/>
    <w:uiPriority w:val="99"/>
    <w:semiHidden/>
    <w:unhideWhenUsed/>
    <w:rsid w:val="002F347E"/>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FollowedHyperlink">
    <w:name w:val="FollowedHyperlink"/>
    <w:basedOn w:val="DefaultParagraphFont"/>
    <w:uiPriority w:val="99"/>
    <w:semiHidden/>
    <w:unhideWhenUsed/>
    <w:rsid w:val="00FE6617"/>
    <w:rPr>
      <w:color w:val="954F72" w:themeColor="followedHyperlink"/>
      <w:u w:val="single"/>
    </w:rPr>
  </w:style>
  <w:style w:type="paragraph" w:customStyle="1" w:styleId="AHPRADocumenttitle">
    <w:name w:val="AHPRA Document title"/>
    <w:basedOn w:val="Normal"/>
    <w:uiPriority w:val="99"/>
    <w:rsid w:val="00014178"/>
    <w:pPr>
      <w:spacing w:before="200" w:after="200" w:line="240" w:lineRule="auto"/>
      <w:outlineLvl w:val="0"/>
    </w:pPr>
    <w:rPr>
      <w:rFonts w:ascii="Arial" w:eastAsia="Cambria" w:hAnsi="Arial" w:cs="Arial"/>
      <w:color w:val="00BCCE"/>
      <w:sz w:val="32"/>
      <w:szCs w:val="52"/>
      <w:lang w:val="en-US"/>
    </w:rPr>
  </w:style>
  <w:style w:type="paragraph" w:customStyle="1" w:styleId="AHPRAbodytext">
    <w:name w:val="AHPRA body text"/>
    <w:basedOn w:val="Normal"/>
    <w:uiPriority w:val="99"/>
    <w:rsid w:val="00014178"/>
    <w:pPr>
      <w:spacing w:after="200" w:line="240" w:lineRule="auto"/>
    </w:pPr>
    <w:rPr>
      <w:rFonts w:ascii="Arial" w:eastAsia="Cambria" w:hAnsi="Arial" w:cs="Arial"/>
      <w:sz w:val="20"/>
      <w:szCs w:val="24"/>
      <w:lang w:val="en-US"/>
    </w:rPr>
  </w:style>
  <w:style w:type="paragraph" w:customStyle="1" w:styleId="AHPRAnumberedsubheadinglevel1">
    <w:name w:val="AHPRA numbered subheading level 1"/>
    <w:basedOn w:val="AHPRASubheading"/>
    <w:next w:val="AHPRAnumberedbulletpoint"/>
    <w:link w:val="AHPRAnumberedsubheadinglevel1Char"/>
    <w:uiPriority w:val="99"/>
    <w:rsid w:val="00014178"/>
    <w:pPr>
      <w:numPr>
        <w:numId w:val="5"/>
      </w:numPr>
    </w:pPr>
  </w:style>
  <w:style w:type="paragraph" w:customStyle="1" w:styleId="AHPRAnumberedbulletpoint">
    <w:name w:val="AHPRA numbered bullet point"/>
    <w:basedOn w:val="AHPRAnumberedsubheadinglevel1"/>
    <w:link w:val="AHPRAnumberedbulletpointChar"/>
    <w:rsid w:val="00014178"/>
    <w:pPr>
      <w:numPr>
        <w:ilvl w:val="1"/>
        <w:numId w:val="0"/>
      </w:numPr>
    </w:pPr>
    <w:rPr>
      <w:b w:val="0"/>
      <w:color w:val="auto"/>
    </w:rPr>
  </w:style>
  <w:style w:type="character" w:customStyle="1" w:styleId="ListParagraphChar">
    <w:name w:val="List Paragraph Char"/>
    <w:link w:val="ListParagraph"/>
    <w:uiPriority w:val="34"/>
    <w:locked/>
    <w:rsid w:val="00014178"/>
  </w:style>
  <w:style w:type="character" w:customStyle="1" w:styleId="AHPRAnumberedbulletpointChar">
    <w:name w:val="AHPRA numbered bullet point Char"/>
    <w:basedOn w:val="DefaultParagraphFont"/>
    <w:link w:val="AHPRAnumberedbulletpoint"/>
    <w:locked/>
    <w:rsid w:val="00014178"/>
    <w:rPr>
      <w:rFonts w:ascii="Arial" w:eastAsia="Cambria" w:hAnsi="Arial" w:cs="Times New Roman"/>
      <w:sz w:val="20"/>
      <w:szCs w:val="24"/>
      <w:lang w:val="en-US"/>
    </w:rPr>
  </w:style>
  <w:style w:type="character" w:customStyle="1" w:styleId="AHPRAnumberedsubheadinglevel1Char">
    <w:name w:val="AHPRA numbered subheading level 1 Char"/>
    <w:basedOn w:val="DefaultParagraphFont"/>
    <w:link w:val="AHPRAnumberedsubheadinglevel1"/>
    <w:uiPriority w:val="99"/>
    <w:locked/>
    <w:rsid w:val="00014178"/>
    <w:rPr>
      <w:rFonts w:ascii="Arial" w:eastAsia="Cambria" w:hAnsi="Arial" w:cs="Times New Roman"/>
      <w:b/>
      <w:color w:val="008EC4"/>
      <w:sz w:val="20"/>
      <w:szCs w:val="24"/>
      <w:lang w:val="en-US"/>
    </w:rPr>
  </w:style>
  <w:style w:type="numbering" w:customStyle="1" w:styleId="AHPRAlist">
    <w:name w:val="AHPRA list"/>
    <w:rsid w:val="00014178"/>
    <w:pPr>
      <w:numPr>
        <w:numId w:val="6"/>
      </w:numPr>
    </w:pPr>
  </w:style>
  <w:style w:type="paragraph" w:styleId="Title">
    <w:name w:val="Title"/>
    <w:basedOn w:val="Normal"/>
    <w:next w:val="Normal"/>
    <w:link w:val="TitleChar"/>
    <w:uiPriority w:val="10"/>
    <w:qFormat/>
    <w:rsid w:val="005B754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B754A"/>
    <w:rPr>
      <w:rFonts w:asciiTheme="majorHAnsi" w:eastAsiaTheme="majorEastAsia" w:hAnsiTheme="majorHAnsi" w:cstheme="majorBidi"/>
      <w:color w:val="323E4F" w:themeColor="text2" w:themeShade="BF"/>
      <w:spacing w:val="5"/>
      <w:kern w:val="28"/>
      <w:sz w:val="52"/>
      <w:szCs w:val="52"/>
    </w:rPr>
  </w:style>
  <w:style w:type="paragraph" w:styleId="Caption">
    <w:name w:val="caption"/>
    <w:basedOn w:val="Normal"/>
    <w:next w:val="Normal"/>
    <w:uiPriority w:val="35"/>
    <w:unhideWhenUsed/>
    <w:qFormat/>
    <w:rsid w:val="00A461AA"/>
    <w:pPr>
      <w:spacing w:after="200" w:line="240" w:lineRule="auto"/>
    </w:pPr>
    <w:rPr>
      <w:b/>
      <w:bCs/>
      <w:color w:val="5B9BD5" w:themeColor="accent1"/>
      <w:sz w:val="18"/>
      <w:szCs w:val="18"/>
    </w:rPr>
  </w:style>
  <w:style w:type="paragraph" w:customStyle="1" w:styleId="AHPRAbodyContextparanumbered">
    <w:name w:val="AHPRA body 'Context' para numbered"/>
    <w:uiPriority w:val="1"/>
    <w:qFormat/>
    <w:rsid w:val="00D04F03"/>
    <w:pPr>
      <w:numPr>
        <w:numId w:val="17"/>
      </w:numPr>
      <w:spacing w:after="200" w:line="240" w:lineRule="auto"/>
    </w:pPr>
    <w:rPr>
      <w:rFonts w:ascii="Arial" w:eastAsia="Cambria"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38295">
      <w:bodyDiv w:val="1"/>
      <w:marLeft w:val="0"/>
      <w:marRight w:val="0"/>
      <w:marTop w:val="0"/>
      <w:marBottom w:val="0"/>
      <w:divBdr>
        <w:top w:val="none" w:sz="0" w:space="0" w:color="auto"/>
        <w:left w:val="none" w:sz="0" w:space="0" w:color="auto"/>
        <w:bottom w:val="none" w:sz="0" w:space="0" w:color="auto"/>
        <w:right w:val="none" w:sz="0" w:space="0" w:color="auto"/>
      </w:divBdr>
    </w:div>
    <w:div w:id="427776019">
      <w:bodyDiv w:val="1"/>
      <w:marLeft w:val="0"/>
      <w:marRight w:val="0"/>
      <w:marTop w:val="0"/>
      <w:marBottom w:val="0"/>
      <w:divBdr>
        <w:top w:val="none" w:sz="0" w:space="0" w:color="auto"/>
        <w:left w:val="none" w:sz="0" w:space="0" w:color="auto"/>
        <w:bottom w:val="none" w:sz="0" w:space="0" w:color="auto"/>
        <w:right w:val="none" w:sz="0" w:space="0" w:color="auto"/>
      </w:divBdr>
      <w:divsChild>
        <w:div w:id="2055306746">
          <w:marLeft w:val="547"/>
          <w:marRight w:val="0"/>
          <w:marTop w:val="0"/>
          <w:marBottom w:val="0"/>
          <w:divBdr>
            <w:top w:val="none" w:sz="0" w:space="0" w:color="auto"/>
            <w:left w:val="none" w:sz="0" w:space="0" w:color="auto"/>
            <w:bottom w:val="none" w:sz="0" w:space="0" w:color="auto"/>
            <w:right w:val="none" w:sz="0" w:space="0" w:color="auto"/>
          </w:divBdr>
        </w:div>
      </w:divsChild>
    </w:div>
    <w:div w:id="460149290">
      <w:bodyDiv w:val="1"/>
      <w:marLeft w:val="0"/>
      <w:marRight w:val="0"/>
      <w:marTop w:val="0"/>
      <w:marBottom w:val="0"/>
      <w:divBdr>
        <w:top w:val="none" w:sz="0" w:space="0" w:color="auto"/>
        <w:left w:val="none" w:sz="0" w:space="0" w:color="auto"/>
        <w:bottom w:val="none" w:sz="0" w:space="0" w:color="auto"/>
        <w:right w:val="none" w:sz="0" w:space="0" w:color="auto"/>
      </w:divBdr>
      <w:divsChild>
        <w:div w:id="767579199">
          <w:marLeft w:val="0"/>
          <w:marRight w:val="0"/>
          <w:marTop w:val="0"/>
          <w:marBottom w:val="0"/>
          <w:divBdr>
            <w:top w:val="none" w:sz="0" w:space="0" w:color="auto"/>
            <w:left w:val="none" w:sz="0" w:space="0" w:color="auto"/>
            <w:bottom w:val="none" w:sz="0" w:space="0" w:color="auto"/>
            <w:right w:val="none" w:sz="0" w:space="0" w:color="auto"/>
          </w:divBdr>
          <w:divsChild>
            <w:div w:id="1057973369">
              <w:marLeft w:val="0"/>
              <w:marRight w:val="0"/>
              <w:marTop w:val="0"/>
              <w:marBottom w:val="0"/>
              <w:divBdr>
                <w:top w:val="none" w:sz="0" w:space="0" w:color="auto"/>
                <w:left w:val="none" w:sz="0" w:space="0" w:color="auto"/>
                <w:bottom w:val="none" w:sz="0" w:space="0" w:color="auto"/>
                <w:right w:val="none" w:sz="0" w:space="0" w:color="auto"/>
              </w:divBdr>
              <w:divsChild>
                <w:div w:id="18722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2165">
      <w:bodyDiv w:val="1"/>
      <w:marLeft w:val="360"/>
      <w:marRight w:val="360"/>
      <w:marTop w:val="360"/>
      <w:marBottom w:val="360"/>
      <w:divBdr>
        <w:top w:val="none" w:sz="0" w:space="0" w:color="auto"/>
        <w:left w:val="none" w:sz="0" w:space="0" w:color="auto"/>
        <w:bottom w:val="none" w:sz="0" w:space="0" w:color="auto"/>
        <w:right w:val="none" w:sz="0" w:space="0" w:color="auto"/>
      </w:divBdr>
    </w:div>
    <w:div w:id="623658035">
      <w:bodyDiv w:val="1"/>
      <w:marLeft w:val="360"/>
      <w:marRight w:val="360"/>
      <w:marTop w:val="360"/>
      <w:marBottom w:val="360"/>
      <w:divBdr>
        <w:top w:val="none" w:sz="0" w:space="0" w:color="auto"/>
        <w:left w:val="none" w:sz="0" w:space="0" w:color="auto"/>
        <w:bottom w:val="none" w:sz="0" w:space="0" w:color="auto"/>
        <w:right w:val="none" w:sz="0" w:space="0" w:color="auto"/>
      </w:divBdr>
    </w:div>
    <w:div w:id="757676991">
      <w:bodyDiv w:val="1"/>
      <w:marLeft w:val="0"/>
      <w:marRight w:val="0"/>
      <w:marTop w:val="0"/>
      <w:marBottom w:val="0"/>
      <w:divBdr>
        <w:top w:val="none" w:sz="0" w:space="0" w:color="auto"/>
        <w:left w:val="none" w:sz="0" w:space="0" w:color="auto"/>
        <w:bottom w:val="none" w:sz="0" w:space="0" w:color="auto"/>
        <w:right w:val="none" w:sz="0" w:space="0" w:color="auto"/>
      </w:divBdr>
    </w:div>
    <w:div w:id="1192573806">
      <w:bodyDiv w:val="1"/>
      <w:marLeft w:val="0"/>
      <w:marRight w:val="0"/>
      <w:marTop w:val="0"/>
      <w:marBottom w:val="0"/>
      <w:divBdr>
        <w:top w:val="none" w:sz="0" w:space="0" w:color="auto"/>
        <w:left w:val="none" w:sz="0" w:space="0" w:color="auto"/>
        <w:bottom w:val="none" w:sz="0" w:space="0" w:color="auto"/>
        <w:right w:val="none" w:sz="0" w:space="0" w:color="auto"/>
      </w:divBdr>
    </w:div>
    <w:div w:id="1302005991">
      <w:bodyDiv w:val="1"/>
      <w:marLeft w:val="0"/>
      <w:marRight w:val="0"/>
      <w:marTop w:val="0"/>
      <w:marBottom w:val="0"/>
      <w:divBdr>
        <w:top w:val="none" w:sz="0" w:space="0" w:color="auto"/>
        <w:left w:val="none" w:sz="0" w:space="0" w:color="auto"/>
        <w:bottom w:val="none" w:sz="0" w:space="0" w:color="auto"/>
        <w:right w:val="none" w:sz="0" w:space="0" w:color="auto"/>
      </w:divBdr>
      <w:divsChild>
        <w:div w:id="852959847">
          <w:marLeft w:val="0"/>
          <w:marRight w:val="0"/>
          <w:marTop w:val="0"/>
          <w:marBottom w:val="0"/>
          <w:divBdr>
            <w:top w:val="none" w:sz="0" w:space="0" w:color="auto"/>
            <w:left w:val="none" w:sz="0" w:space="0" w:color="auto"/>
            <w:bottom w:val="none" w:sz="0" w:space="0" w:color="auto"/>
            <w:right w:val="none" w:sz="0" w:space="0" w:color="auto"/>
          </w:divBdr>
          <w:divsChild>
            <w:div w:id="573704844">
              <w:marLeft w:val="0"/>
              <w:marRight w:val="0"/>
              <w:marTop w:val="0"/>
              <w:marBottom w:val="0"/>
              <w:divBdr>
                <w:top w:val="none" w:sz="0" w:space="0" w:color="auto"/>
                <w:left w:val="none" w:sz="0" w:space="0" w:color="auto"/>
                <w:bottom w:val="none" w:sz="0" w:space="0" w:color="auto"/>
                <w:right w:val="none" w:sz="0" w:space="0" w:color="auto"/>
              </w:divBdr>
              <w:divsChild>
                <w:div w:id="15909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13170">
      <w:bodyDiv w:val="1"/>
      <w:marLeft w:val="0"/>
      <w:marRight w:val="0"/>
      <w:marTop w:val="0"/>
      <w:marBottom w:val="0"/>
      <w:divBdr>
        <w:top w:val="none" w:sz="0" w:space="0" w:color="auto"/>
        <w:left w:val="none" w:sz="0" w:space="0" w:color="auto"/>
        <w:bottom w:val="none" w:sz="0" w:space="0" w:color="auto"/>
        <w:right w:val="none" w:sz="0" w:space="0" w:color="auto"/>
      </w:divBdr>
    </w:div>
    <w:div w:id="1562211877">
      <w:bodyDiv w:val="1"/>
      <w:marLeft w:val="0"/>
      <w:marRight w:val="0"/>
      <w:marTop w:val="0"/>
      <w:marBottom w:val="0"/>
      <w:divBdr>
        <w:top w:val="none" w:sz="0" w:space="0" w:color="auto"/>
        <w:left w:val="none" w:sz="0" w:space="0" w:color="auto"/>
        <w:bottom w:val="none" w:sz="0" w:space="0" w:color="auto"/>
        <w:right w:val="none" w:sz="0" w:space="0" w:color="auto"/>
      </w:divBdr>
    </w:div>
    <w:div w:id="212874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dicalradiationpracticeboard.gov.au/Accreditation.aspx" TargetMode="External"/><Relationship Id="rId18" Type="http://schemas.openxmlformats.org/officeDocument/2006/relationships/hyperlink" Target="https://www.legislation.qld.gov.au/LEGISLTN/ACTS/2013/13AC036.pdf" TargetMode="External"/><Relationship Id="rId26" Type="http://schemas.openxmlformats.org/officeDocument/2006/relationships/header" Target="header3.xml"/><Relationship Id="rId21" Type="http://schemas.openxmlformats.org/officeDocument/2006/relationships/hyperlink" Target="http://www.legislation.act.gov.au/a/db_39269/current/pdf/db_39269.pdf" TargetMode="External"/><Relationship Id="rId34" Type="http://schemas.openxmlformats.org/officeDocument/2006/relationships/hyperlink" Target="http://www.ahpra.gov.au" TargetMode="External"/><Relationship Id="rId7" Type="http://schemas.openxmlformats.org/officeDocument/2006/relationships/endnotes" Target="endnotes.xml"/><Relationship Id="rId12" Type="http://schemas.openxmlformats.org/officeDocument/2006/relationships/hyperlink" Target="http://www.medicalradiationpracticeboard.gov.au/Registration/Professional-Capabilities.aspx" TargetMode="External"/><Relationship Id="rId17" Type="http://schemas.openxmlformats.org/officeDocument/2006/relationships/hyperlink" Target="https://www.legislation.qld.gov.au/LEGISLTN/CURRENT/H/HealthPracRNatLaw.pdf" TargetMode="External"/><Relationship Id="rId25" Type="http://schemas.openxmlformats.org/officeDocument/2006/relationships/hyperlink" Target="http://www.slp.wa.gov.au/legislation/statutes.nsf/main_mrtitle_12106_currencies.html"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medicalradiationpracticeboard.gov.au/News/Past-Consultations.aspx" TargetMode="External"/><Relationship Id="rId20" Type="http://schemas.openxmlformats.org/officeDocument/2006/relationships/hyperlink" Target="http://www.legislation.vic.gov.au/Domino/Web_Notes/LDMS/PubStatbook.nsf/f932b66241ecf1b7ca256e92000e23be/02566FDB9453A0CECA25768600149A94/$FILE/09-079a.pdf"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legislation.sa.gov.au/LZ/C/A/HEALTH%20PRACTITIONER%20REGULATION%20NATIONAL%20LAW%20(SOUTH%20AUSTRALIA)%20ACT%202010/CURRENT/2010.5.UN.PDF" TargetMode="External"/><Relationship Id="rId32" Type="http://schemas.openxmlformats.org/officeDocument/2006/relationships/hyperlink" Target="http://www.psychologyboard.gov.au/Registration/National-psychology-exam/Sitting-the-examination.asp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hpra.gov.au/About-AHPRA/Regulatory-principles.aspx" TargetMode="External"/><Relationship Id="rId23" Type="http://schemas.openxmlformats.org/officeDocument/2006/relationships/hyperlink" Target="http://www.thelaw.tas.gov.au/tocview/index.w3p;cond=;doc_id=2%2B%2B2010%2BAT%40EN%2B20120524120000;histon=;prompt=;rec=;term" TargetMode="External"/><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legislation.nsw.gov.au/maintop/view/inforce/act+86a+2009+cd+0+N" TargetMode="External"/><Relationship Id="rId31" Type="http://schemas.openxmlformats.org/officeDocument/2006/relationships/hyperlink" Target="http://www.medicalradiationpracticeboard.gov.au/Registration/Professional-Capabilities.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edicalradiationpracticeboard.gov.au/Registration-Standards.aspx" TargetMode="External"/><Relationship Id="rId22" Type="http://schemas.openxmlformats.org/officeDocument/2006/relationships/hyperlink" Target="http://notes.nt.gov.au/dcm/legislat/legislat.nsf/d989974724db65b1482561cf0017cbd2/ec33ec8b85707dca69257cbd00123b43?OpenDocument" TargetMode="External"/><Relationship Id="rId27" Type="http://schemas.openxmlformats.org/officeDocument/2006/relationships/header" Target="header4.xml"/><Relationship Id="rId30" Type="http://schemas.openxmlformats.org/officeDocument/2006/relationships/hyperlink" Target="http://www.ahpra.gov.au/About-AHPRA/Regulatory-principles.aspx" TargetMode="External"/><Relationship Id="rId35" Type="http://schemas.openxmlformats.org/officeDocument/2006/relationships/header" Target="header7.xml"/><Relationship Id="rId8" Type="http://schemas.openxmlformats.org/officeDocument/2006/relationships/hyperlink" Target="mailto:medicalradiationconsultation@ahpra.gov.au"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F3036-FA60-45DB-9D22-7A986229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6072</Words>
  <Characters>34614</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national examination guidelines - 17 August 2015</dc:title>
  <dc:subject>Public consultation paper</dc:subject>
  <dc:creator/>
  <cp:lastModifiedBy/>
  <cp:revision>1</cp:revision>
  <dcterms:created xsi:type="dcterms:W3CDTF">2015-08-17T04:33:00Z</dcterms:created>
  <dcterms:modified xsi:type="dcterms:W3CDTF">2015-08-17T04:33:00Z</dcterms:modified>
</cp:coreProperties>
</file>