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B3" w:rsidRPr="00DE4C79" w:rsidRDefault="00356CB3" w:rsidP="00554335">
      <w:pPr>
        <w:pStyle w:val="AHPRADocumenttitle"/>
      </w:pPr>
    </w:p>
    <w:p w:rsidR="00356CB3" w:rsidRPr="00DE4C79" w:rsidRDefault="00356CB3" w:rsidP="00554335">
      <w:pPr>
        <w:pStyle w:val="AHPRADocumenttitle"/>
      </w:pPr>
    </w:p>
    <w:p w:rsidR="00C35DE1" w:rsidRPr="00DE4C79" w:rsidRDefault="00C73358" w:rsidP="000E42EA">
      <w:pPr>
        <w:pStyle w:val="AHPRADocumenttitle"/>
        <w:pBdr>
          <w:bottom w:val="single" w:sz="4" w:space="1" w:color="auto"/>
        </w:pBdr>
        <w:ind w:left="-1247" w:right="4870" w:firstLine="1247"/>
      </w:pPr>
      <w:bookmarkStart w:id="0" w:name="_Toc355556950"/>
      <w:r>
        <w:t>Public</w:t>
      </w:r>
      <w:r w:rsidRPr="00DE4C79">
        <w:t xml:space="preserve"> </w:t>
      </w:r>
      <w:r w:rsidR="003074C6" w:rsidRPr="00DE4C79">
        <w:t>consultation paper</w:t>
      </w:r>
      <w:bookmarkEnd w:id="0"/>
    </w:p>
    <w:p w:rsidR="00C35DE1" w:rsidRPr="00DE4C79" w:rsidRDefault="007F1639" w:rsidP="00E73698">
      <w:pPr>
        <w:pStyle w:val="AHPRAbodytext"/>
      </w:pPr>
      <w:r>
        <w:t>September</w:t>
      </w:r>
      <w:r w:rsidR="00871D92">
        <w:t xml:space="preserve"> 2013</w:t>
      </w:r>
    </w:p>
    <w:p w:rsidR="007E2C84" w:rsidRPr="00DE4C79" w:rsidRDefault="003074C6" w:rsidP="00554335">
      <w:pPr>
        <w:pStyle w:val="AHPRADocumentsubheading"/>
      </w:pPr>
      <w:bookmarkStart w:id="1" w:name="_Toc355556951"/>
      <w:bookmarkStart w:id="2" w:name="OLE_LINK1"/>
      <w:bookmarkStart w:id="3" w:name="OLE_LINK2"/>
      <w:r w:rsidRPr="00DE4C79">
        <w:t>Consultation on</w:t>
      </w:r>
      <w:r w:rsidR="007711C8">
        <w:t xml:space="preserve"> </w:t>
      </w:r>
      <w:r w:rsidR="00B43D6D">
        <w:t>i</w:t>
      </w:r>
      <w:r w:rsidR="007711C8">
        <w:t xml:space="preserve">nternational </w:t>
      </w:r>
      <w:r w:rsidR="00B43D6D">
        <w:t>c</w:t>
      </w:r>
      <w:r w:rsidR="007711C8">
        <w:t xml:space="preserve">riminal </w:t>
      </w:r>
      <w:r w:rsidR="00B43D6D">
        <w:t>h</w:t>
      </w:r>
      <w:r w:rsidR="007711C8">
        <w:t xml:space="preserve">istory </w:t>
      </w:r>
      <w:r w:rsidR="00B43D6D">
        <w:t>c</w:t>
      </w:r>
      <w:r w:rsidR="007711C8">
        <w:t>hecking</w:t>
      </w:r>
      <w:bookmarkEnd w:id="1"/>
    </w:p>
    <w:bookmarkEnd w:id="2"/>
    <w:bookmarkEnd w:id="3"/>
    <w:p w:rsidR="00B43D6D" w:rsidRDefault="00B43D6D" w:rsidP="009A68A8">
      <w:pPr>
        <w:pStyle w:val="AHPRAbody"/>
        <w:spacing w:line="276" w:lineRule="auto"/>
        <w:ind w:right="-306"/>
      </w:pPr>
    </w:p>
    <w:p w:rsidR="00064E7F" w:rsidRPr="00FF05DE" w:rsidRDefault="00064E7F" w:rsidP="00064E7F">
      <w:pPr>
        <w:pStyle w:val="AHPRAbody"/>
        <w:ind w:right="334"/>
        <w:rPr>
          <w:b/>
        </w:rPr>
      </w:pPr>
      <w:r w:rsidRPr="00FF05DE">
        <w:rPr>
          <w:b/>
        </w:rPr>
        <w:t>Please provide feedback in a word document (or equivalent)</w:t>
      </w:r>
      <w:r w:rsidRPr="00FF05DE">
        <w:rPr>
          <w:rStyle w:val="FootnoteReference"/>
          <w:b/>
        </w:rPr>
        <w:footnoteReference w:id="1"/>
      </w:r>
      <w:r w:rsidRPr="00FF05DE">
        <w:rPr>
          <w:b/>
        </w:rPr>
        <w:t xml:space="preserve"> to </w:t>
      </w:r>
      <w:hyperlink r:id="rId8" w:history="1">
        <w:r>
          <w:rPr>
            <w:rStyle w:val="Hyperlink"/>
            <w:b/>
          </w:rPr>
          <w:t>criminalhistoryconsult@ahpra.gov.au</w:t>
        </w:r>
      </w:hyperlink>
      <w:r w:rsidRPr="00FF05DE">
        <w:t xml:space="preserve"> </w:t>
      </w:r>
      <w:r w:rsidRPr="00FF05DE">
        <w:rPr>
          <w:b/>
        </w:rPr>
        <w:t xml:space="preserve">by close of business on </w:t>
      </w:r>
      <w:r>
        <w:rPr>
          <w:b/>
        </w:rPr>
        <w:t>31 October 2013</w:t>
      </w:r>
      <w:r w:rsidRPr="00FF05DE">
        <w:rPr>
          <w:b/>
        </w:rPr>
        <w:t xml:space="preserve">. </w:t>
      </w:r>
    </w:p>
    <w:p w:rsidR="00F31C8E" w:rsidRPr="002547C2" w:rsidRDefault="009A68A8" w:rsidP="002547C2">
      <w:pPr>
        <w:pStyle w:val="para"/>
        <w:ind w:left="0"/>
        <w:rPr>
          <w:szCs w:val="20"/>
        </w:rPr>
      </w:pPr>
      <w:r w:rsidRPr="002547C2">
        <w:rPr>
          <w:szCs w:val="20"/>
        </w:rPr>
        <w:t xml:space="preserve">This consultation paper seeks feedback on options for refining international criminal history checks used by the Australian Health Practitioner Regulation Agency (AHPRA) in assessing applications for registration for the 14 health professions regulated under the </w:t>
      </w:r>
      <w:r w:rsidR="00F741AC" w:rsidRPr="002547C2">
        <w:rPr>
          <w:szCs w:val="20"/>
        </w:rPr>
        <w:t>Health Practitioner Regulation National Law</w:t>
      </w:r>
      <w:r w:rsidR="00B43D6D" w:rsidRPr="002547C2">
        <w:rPr>
          <w:szCs w:val="20"/>
        </w:rPr>
        <w:t>,</w:t>
      </w:r>
      <w:r w:rsidR="00F741AC" w:rsidRPr="002547C2">
        <w:rPr>
          <w:szCs w:val="20"/>
        </w:rPr>
        <w:t xml:space="preserve"> </w:t>
      </w:r>
      <w:r w:rsidR="00B43D6D" w:rsidRPr="002547C2">
        <w:rPr>
          <w:szCs w:val="20"/>
        </w:rPr>
        <w:t>as in force in each state and territory</w:t>
      </w:r>
      <w:r w:rsidR="00B43D6D" w:rsidRPr="002547C2" w:rsidDel="00B43D6D">
        <w:rPr>
          <w:szCs w:val="20"/>
        </w:rPr>
        <w:t xml:space="preserve"> </w:t>
      </w:r>
      <w:r w:rsidRPr="002547C2">
        <w:rPr>
          <w:szCs w:val="20"/>
        </w:rPr>
        <w:t xml:space="preserve">(National Law). </w:t>
      </w:r>
    </w:p>
    <w:p w:rsidR="00F31C8E" w:rsidRPr="002547C2" w:rsidRDefault="009A68A8" w:rsidP="002547C2">
      <w:pPr>
        <w:pStyle w:val="para"/>
        <w:ind w:left="0"/>
        <w:rPr>
          <w:szCs w:val="20"/>
        </w:rPr>
      </w:pPr>
      <w:r w:rsidRPr="002547C2">
        <w:rPr>
          <w:szCs w:val="20"/>
        </w:rPr>
        <w:t>You may wish to provide general comments; and/or comments on the issues associated with the different options, the option that you consider is the best available, and the reasons why.</w:t>
      </w:r>
    </w:p>
    <w:p w:rsidR="00E67C2B" w:rsidRDefault="00E67C2B" w:rsidP="00E67C2B">
      <w:pPr>
        <w:pStyle w:val="para"/>
        <w:ind w:left="0"/>
        <w:rPr>
          <w:b/>
        </w:rPr>
      </w:pPr>
      <w:r>
        <w:rPr>
          <w:b/>
        </w:rPr>
        <w:t>How your submission will be treated</w:t>
      </w:r>
    </w:p>
    <w:p w:rsidR="00E67C2B" w:rsidRDefault="00E67C2B" w:rsidP="00E67C2B">
      <w:pPr>
        <w:pStyle w:val="para"/>
        <w:ind w:left="0"/>
        <w:rPr>
          <w:szCs w:val="20"/>
        </w:rPr>
      </w:pPr>
      <w:r>
        <w:rPr>
          <w:szCs w:val="20"/>
        </w:rPr>
        <w:t xml:space="preserve">Submissions will generally be published unless you request otherwise. The Boards publish submissions on their websites to encourage discussion and inform the community and stakeholders. However, the Boards retain the right not to publish submissions at their discretion, and will not place on their website, or make available to the public, submissions that contain offensive or defamatory comments or which are outside the scope of the consultation. </w:t>
      </w:r>
    </w:p>
    <w:p w:rsidR="00E67C2B" w:rsidRDefault="00E67C2B" w:rsidP="00E67C2B">
      <w:pPr>
        <w:pStyle w:val="para"/>
        <w:ind w:left="0"/>
        <w:rPr>
          <w:szCs w:val="20"/>
        </w:rPr>
      </w:pPr>
      <w:r>
        <w:rPr>
          <w:szCs w:val="20"/>
        </w:rPr>
        <w:t xml:space="preserve">Before publication, the Boards may remove personally-identifying information from submissions, including contact details. The views expressed in the submissions are those of the individuals or organisations who submit them and their publication does not imply any acceptance of, or agreement with, these views by the Boards. </w:t>
      </w:r>
    </w:p>
    <w:p w:rsidR="00E67C2B" w:rsidRDefault="00E67C2B" w:rsidP="00E67C2B">
      <w:pPr>
        <w:pStyle w:val="para"/>
        <w:ind w:left="0"/>
        <w:rPr>
          <w:szCs w:val="20"/>
        </w:rPr>
      </w:pPr>
      <w:r>
        <w:rPr>
          <w:szCs w:val="20"/>
        </w:rPr>
        <w:t xml:space="preserve">The Boards also accept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Pr>
          <w:i/>
          <w:iCs/>
          <w:szCs w:val="20"/>
        </w:rPr>
        <w:t xml:space="preserve">Freedom of Information Act 1982 </w:t>
      </w:r>
      <w:r>
        <w:rPr>
          <w:szCs w:val="20"/>
        </w:rPr>
        <w:t>(</w:t>
      </w:r>
      <w:proofErr w:type="spellStart"/>
      <w:r>
        <w:rPr>
          <w:szCs w:val="20"/>
        </w:rPr>
        <w:t>Cwlth</w:t>
      </w:r>
      <w:proofErr w:type="spellEnd"/>
      <w:r>
        <w:rPr>
          <w:szCs w:val="20"/>
        </w:rPr>
        <w:t xml:space="preserve">), which has provisions designed to protect personal information and information given in confidence. </w:t>
      </w:r>
    </w:p>
    <w:p w:rsidR="00E67C2B" w:rsidRDefault="00E67C2B" w:rsidP="00E67C2B">
      <w:pPr>
        <w:pStyle w:val="para"/>
        <w:ind w:left="0"/>
        <w:rPr>
          <w:szCs w:val="20"/>
        </w:rPr>
      </w:pPr>
      <w:r>
        <w:rPr>
          <w:szCs w:val="20"/>
        </w:rPr>
        <w:t>Please let the Boards know if you do not want your submission published, or want all or part of it treated as confidential.</w:t>
      </w:r>
    </w:p>
    <w:p w:rsidR="005268FB" w:rsidRPr="00DE4C79" w:rsidRDefault="005268FB" w:rsidP="005268FB">
      <w:pPr>
        <w:pStyle w:val="AHPRAHeadline"/>
        <w:spacing w:before="200"/>
        <w:rPr>
          <w:rFonts w:cs="Arial"/>
          <w:b/>
          <w:szCs w:val="20"/>
        </w:rPr>
      </w:pPr>
      <w:r w:rsidRPr="00DE4C79">
        <w:rPr>
          <w:rFonts w:cs="Arial"/>
          <w:b/>
          <w:color w:val="auto"/>
          <w:sz w:val="20"/>
          <w:szCs w:val="20"/>
        </w:rPr>
        <w:t xml:space="preserve">Next </w:t>
      </w:r>
      <w:r w:rsidR="00E67C2B">
        <w:rPr>
          <w:rFonts w:cs="Arial"/>
          <w:b/>
          <w:color w:val="auto"/>
          <w:sz w:val="20"/>
          <w:szCs w:val="20"/>
        </w:rPr>
        <w:t>steps</w:t>
      </w:r>
    </w:p>
    <w:p w:rsidR="009A68A8" w:rsidRPr="00AF0340" w:rsidRDefault="005268FB">
      <w:pPr>
        <w:spacing w:after="0"/>
        <w:rPr>
          <w:rFonts w:ascii="Arial" w:hAnsi="Arial" w:cs="Arial"/>
          <w:sz w:val="20"/>
          <w:szCs w:val="20"/>
        </w:rPr>
      </w:pPr>
      <w:r w:rsidRPr="00527E7A">
        <w:rPr>
          <w:rFonts w:ascii="Arial" w:hAnsi="Arial" w:cs="Arial"/>
          <w:sz w:val="20"/>
          <w:szCs w:val="20"/>
        </w:rPr>
        <w:t xml:space="preserve">After the </w:t>
      </w:r>
      <w:r w:rsidR="00E67C2B">
        <w:rPr>
          <w:rFonts w:ascii="Arial" w:hAnsi="Arial" w:cs="Arial"/>
          <w:sz w:val="20"/>
          <w:szCs w:val="20"/>
        </w:rPr>
        <w:t>consultation</w:t>
      </w:r>
      <w:r w:rsidRPr="00527E7A">
        <w:rPr>
          <w:rFonts w:ascii="Arial" w:hAnsi="Arial" w:cs="Arial"/>
          <w:sz w:val="20"/>
          <w:szCs w:val="20"/>
        </w:rPr>
        <w:t xml:space="preserve"> has finished, the </w:t>
      </w:r>
      <w:r w:rsidR="00AF0340">
        <w:rPr>
          <w:rFonts w:ascii="Arial" w:hAnsi="Arial" w:cs="Arial"/>
          <w:sz w:val="20"/>
          <w:szCs w:val="20"/>
        </w:rPr>
        <w:t xml:space="preserve">Boards will decide whether </w:t>
      </w:r>
      <w:r w:rsidR="00E67C2B">
        <w:rPr>
          <w:rFonts w:ascii="Arial" w:hAnsi="Arial" w:cs="Arial"/>
          <w:sz w:val="20"/>
          <w:szCs w:val="20"/>
        </w:rPr>
        <w:t>to implement the proposed option and will publish information about their decision</w:t>
      </w:r>
      <w:r w:rsidRPr="00527E7A">
        <w:rPr>
          <w:rFonts w:ascii="Arial" w:hAnsi="Arial" w:cs="Arial"/>
          <w:sz w:val="20"/>
          <w:szCs w:val="20"/>
        </w:rPr>
        <w:t>.</w:t>
      </w:r>
      <w:r w:rsidR="009A68A8">
        <w:br w:type="page"/>
      </w:r>
    </w:p>
    <w:p w:rsidR="00E73698" w:rsidRDefault="00527E7A" w:rsidP="0084336D">
      <w:pPr>
        <w:pStyle w:val="AHPRADocumentsubheading"/>
      </w:pPr>
      <w:bookmarkStart w:id="4" w:name="_Toc355556952"/>
      <w:r>
        <w:lastRenderedPageBreak/>
        <w:t>Contents</w:t>
      </w:r>
      <w:bookmarkEnd w:id="4"/>
      <w:r>
        <w:t xml:space="preserve"> </w:t>
      </w:r>
    </w:p>
    <w:sdt>
      <w:sdtPr>
        <w:id w:val="-1746325979"/>
        <w:docPartObj>
          <w:docPartGallery w:val="Table of Contents"/>
          <w:docPartUnique/>
        </w:docPartObj>
      </w:sdtPr>
      <w:sdtEndPr>
        <w:rPr>
          <w:b w:val="0"/>
          <w:bCs/>
        </w:rPr>
      </w:sdtEndPr>
      <w:sdtContent>
        <w:p w:rsidR="00F31C8E" w:rsidRDefault="007F1B0B">
          <w:pPr>
            <w:pStyle w:val="TOC1"/>
            <w:rPr>
              <w:rStyle w:val="Hyperlink"/>
            </w:rPr>
          </w:pPr>
          <w:r w:rsidRPr="00F741AC">
            <w:rPr>
              <w:rStyle w:val="Hyperlink"/>
            </w:rPr>
            <w:fldChar w:fldCharType="begin"/>
          </w:r>
          <w:r w:rsidR="00F741AC" w:rsidRPr="00F741AC">
            <w:rPr>
              <w:rStyle w:val="Hyperlink"/>
            </w:rPr>
            <w:instrText xml:space="preserve"> TOC \o "1-3" \h \z \u </w:instrText>
          </w:r>
          <w:r w:rsidRPr="00F741AC">
            <w:rPr>
              <w:rStyle w:val="Hyperlink"/>
            </w:rPr>
            <w:fldChar w:fldCharType="separate"/>
          </w:r>
          <w:hyperlink w:anchor="_Toc355556950" w:history="1">
            <w:r w:rsidR="000A0A47">
              <w:rPr>
                <w:rStyle w:val="Hyperlink"/>
              </w:rPr>
              <w:t>Preliminary consultation</w:t>
            </w:r>
            <w:r w:rsidR="00F741AC" w:rsidRPr="00F741AC">
              <w:rPr>
                <w:rStyle w:val="Hyperlink"/>
                <w:webHidden/>
              </w:rPr>
              <w:tab/>
            </w:r>
            <w:r w:rsidRPr="00F741AC">
              <w:rPr>
                <w:rStyle w:val="Hyperlink"/>
                <w:webHidden/>
              </w:rPr>
              <w:fldChar w:fldCharType="begin"/>
            </w:r>
            <w:r w:rsidR="00F741AC" w:rsidRPr="00F741AC">
              <w:rPr>
                <w:rStyle w:val="Hyperlink"/>
                <w:webHidden/>
              </w:rPr>
              <w:instrText xml:space="preserve"> PAGEREF _Toc355556950 \h </w:instrText>
            </w:r>
            <w:r w:rsidRPr="00F741AC">
              <w:rPr>
                <w:rStyle w:val="Hyperlink"/>
                <w:webHidden/>
              </w:rPr>
            </w:r>
            <w:r w:rsidRPr="00F741AC">
              <w:rPr>
                <w:rStyle w:val="Hyperlink"/>
                <w:webHidden/>
              </w:rPr>
              <w:fldChar w:fldCharType="separate"/>
            </w:r>
            <w:r w:rsidR="00064E7F">
              <w:rPr>
                <w:rStyle w:val="Hyperlink"/>
                <w:webHidden/>
              </w:rPr>
              <w:t>1</w:t>
            </w:r>
            <w:r w:rsidRPr="00F741AC">
              <w:rPr>
                <w:rStyle w:val="Hyperlink"/>
                <w:webHidden/>
              </w:rPr>
              <w:fldChar w:fldCharType="end"/>
            </w:r>
          </w:hyperlink>
        </w:p>
        <w:p w:rsidR="000A0A47" w:rsidRPr="00EF18E1" w:rsidRDefault="007F1B0B">
          <w:pPr>
            <w:pStyle w:val="TOC1"/>
            <w:rPr>
              <w:rStyle w:val="Hyperlink"/>
            </w:rPr>
          </w:pPr>
          <w:hyperlink w:anchor="_Toc355556953" w:history="1">
            <w:r w:rsidR="000A0A47">
              <w:rPr>
                <w:rStyle w:val="Hyperlink"/>
              </w:rPr>
              <w:t>Background to i</w:t>
            </w:r>
            <w:r w:rsidR="000A0A47" w:rsidRPr="003A1D0A">
              <w:rPr>
                <w:rStyle w:val="Hyperlink"/>
              </w:rPr>
              <w:t>nternational criminal history checking</w:t>
            </w:r>
            <w:r w:rsidR="00F741AC" w:rsidRPr="00F741AC">
              <w:rPr>
                <w:rStyle w:val="Hyperlink"/>
                <w:webHidden/>
              </w:rPr>
              <w:tab/>
            </w:r>
            <w:r w:rsidRPr="00F741AC">
              <w:rPr>
                <w:rStyle w:val="Hyperlink"/>
                <w:webHidden/>
              </w:rPr>
              <w:fldChar w:fldCharType="begin"/>
            </w:r>
            <w:r w:rsidR="00F741AC" w:rsidRPr="00F741AC">
              <w:rPr>
                <w:rStyle w:val="Hyperlink"/>
                <w:webHidden/>
              </w:rPr>
              <w:instrText xml:space="preserve"> PAGEREF _Toc355556953 \h </w:instrText>
            </w:r>
            <w:r w:rsidRPr="00F741AC">
              <w:rPr>
                <w:rStyle w:val="Hyperlink"/>
                <w:webHidden/>
              </w:rPr>
            </w:r>
            <w:r w:rsidRPr="00F741AC">
              <w:rPr>
                <w:rStyle w:val="Hyperlink"/>
                <w:webHidden/>
              </w:rPr>
              <w:fldChar w:fldCharType="separate"/>
            </w:r>
            <w:r w:rsidR="00064E7F">
              <w:rPr>
                <w:rStyle w:val="Hyperlink"/>
                <w:webHidden/>
              </w:rPr>
              <w:t>3</w:t>
            </w:r>
            <w:r w:rsidRPr="00F741AC">
              <w:rPr>
                <w:rStyle w:val="Hyperlink"/>
                <w:webHidden/>
              </w:rPr>
              <w:fldChar w:fldCharType="end"/>
            </w:r>
          </w:hyperlink>
        </w:p>
        <w:p w:rsidR="000A0A47" w:rsidRPr="00EF18E1" w:rsidRDefault="007F1B0B" w:rsidP="000A0A47">
          <w:pPr>
            <w:pStyle w:val="TOC1"/>
            <w:rPr>
              <w:rStyle w:val="Hyperlink"/>
            </w:rPr>
          </w:pPr>
          <w:hyperlink w:anchor="_Toc355556953" w:history="1">
            <w:r w:rsidR="000A0A47">
              <w:rPr>
                <w:rStyle w:val="Hyperlink"/>
              </w:rPr>
              <w:t>2012 consultation</w:t>
            </w:r>
            <w:r w:rsidR="00F741AC" w:rsidRPr="00F741AC">
              <w:rPr>
                <w:rStyle w:val="Hyperlink"/>
                <w:webHidden/>
              </w:rPr>
              <w:tab/>
              <w:t>4</w:t>
            </w:r>
          </w:hyperlink>
        </w:p>
        <w:p w:rsidR="000A0A47" w:rsidRPr="00EF18E1" w:rsidRDefault="007F1B0B" w:rsidP="000A0A47">
          <w:pPr>
            <w:pStyle w:val="TOC1"/>
            <w:rPr>
              <w:rStyle w:val="Hyperlink"/>
            </w:rPr>
          </w:pPr>
          <w:hyperlink w:anchor="_Toc355556953" w:history="1">
            <w:r w:rsidR="000A0A47">
              <w:rPr>
                <w:rStyle w:val="Hyperlink"/>
              </w:rPr>
              <w:t>2013 consultation</w:t>
            </w:r>
            <w:r w:rsidR="00F741AC" w:rsidRPr="00F741AC">
              <w:rPr>
                <w:rStyle w:val="Hyperlink"/>
                <w:webHidden/>
              </w:rPr>
              <w:tab/>
              <w:t>5</w:t>
            </w:r>
          </w:hyperlink>
        </w:p>
        <w:p w:rsidR="000A0A47" w:rsidRPr="00EF18E1" w:rsidRDefault="007F1B0B">
          <w:pPr>
            <w:pStyle w:val="TOC1"/>
            <w:rPr>
              <w:rStyle w:val="Hyperlink"/>
            </w:rPr>
          </w:pPr>
          <w:hyperlink w:anchor="_Toc355556954" w:history="1">
            <w:r w:rsidR="000A0A47" w:rsidRPr="003A1D0A">
              <w:rPr>
                <w:rStyle w:val="Hyperlink"/>
              </w:rPr>
              <w:t>Attachment one</w:t>
            </w:r>
            <w:r w:rsidR="00F741AC" w:rsidRPr="00F741AC">
              <w:rPr>
                <w:rStyle w:val="Hyperlink"/>
                <w:webHidden/>
              </w:rPr>
              <w:tab/>
            </w:r>
            <w:r w:rsidRPr="00F741AC">
              <w:rPr>
                <w:rStyle w:val="Hyperlink"/>
                <w:webHidden/>
              </w:rPr>
              <w:fldChar w:fldCharType="begin"/>
            </w:r>
            <w:r w:rsidR="00F741AC" w:rsidRPr="00F741AC">
              <w:rPr>
                <w:rStyle w:val="Hyperlink"/>
                <w:webHidden/>
              </w:rPr>
              <w:instrText xml:space="preserve"> PAGEREF _Toc355556954 \h </w:instrText>
            </w:r>
            <w:r w:rsidRPr="00F741AC">
              <w:rPr>
                <w:rStyle w:val="Hyperlink"/>
                <w:webHidden/>
              </w:rPr>
            </w:r>
            <w:r w:rsidRPr="00F741AC">
              <w:rPr>
                <w:rStyle w:val="Hyperlink"/>
                <w:webHidden/>
              </w:rPr>
              <w:fldChar w:fldCharType="separate"/>
            </w:r>
            <w:r w:rsidR="00064E7F">
              <w:rPr>
                <w:rStyle w:val="Hyperlink"/>
                <w:webHidden/>
              </w:rPr>
              <w:t>9</w:t>
            </w:r>
            <w:r w:rsidRPr="00F741AC">
              <w:rPr>
                <w:rStyle w:val="Hyperlink"/>
                <w:webHidden/>
              </w:rPr>
              <w:fldChar w:fldCharType="end"/>
            </w:r>
          </w:hyperlink>
        </w:p>
        <w:p w:rsidR="000A0A47" w:rsidRPr="00EF18E1" w:rsidRDefault="007F1B0B">
          <w:pPr>
            <w:pStyle w:val="TOC1"/>
            <w:rPr>
              <w:rStyle w:val="Hyperlink"/>
            </w:rPr>
          </w:pPr>
          <w:hyperlink w:anchor="_Toc355556955" w:history="1">
            <w:r w:rsidR="000A0A47" w:rsidRPr="003A1D0A">
              <w:rPr>
                <w:rStyle w:val="Hyperlink"/>
              </w:rPr>
              <w:t>Attachment two</w:t>
            </w:r>
            <w:r w:rsidR="00F741AC" w:rsidRPr="00F741AC">
              <w:rPr>
                <w:rStyle w:val="Hyperlink"/>
                <w:webHidden/>
              </w:rPr>
              <w:tab/>
            </w:r>
            <w:r w:rsidRPr="00F741AC">
              <w:rPr>
                <w:rStyle w:val="Hyperlink"/>
                <w:webHidden/>
              </w:rPr>
              <w:fldChar w:fldCharType="begin"/>
            </w:r>
            <w:r w:rsidR="00F741AC" w:rsidRPr="00F741AC">
              <w:rPr>
                <w:rStyle w:val="Hyperlink"/>
                <w:webHidden/>
              </w:rPr>
              <w:instrText xml:space="preserve"> PAGEREF _Toc355556955 \h </w:instrText>
            </w:r>
            <w:r w:rsidRPr="00F741AC">
              <w:rPr>
                <w:rStyle w:val="Hyperlink"/>
                <w:webHidden/>
              </w:rPr>
            </w:r>
            <w:r w:rsidRPr="00F741AC">
              <w:rPr>
                <w:rStyle w:val="Hyperlink"/>
                <w:webHidden/>
              </w:rPr>
              <w:fldChar w:fldCharType="separate"/>
            </w:r>
            <w:r w:rsidR="00064E7F">
              <w:rPr>
                <w:rStyle w:val="Hyperlink"/>
                <w:webHidden/>
              </w:rPr>
              <w:t>12</w:t>
            </w:r>
            <w:r w:rsidRPr="00F741AC">
              <w:rPr>
                <w:rStyle w:val="Hyperlink"/>
                <w:webHidden/>
              </w:rPr>
              <w:fldChar w:fldCharType="end"/>
            </w:r>
          </w:hyperlink>
        </w:p>
        <w:p w:rsidR="00F31C8E" w:rsidRDefault="007F1B0B">
          <w:pPr>
            <w:pStyle w:val="TOC1"/>
          </w:pPr>
          <w:r w:rsidRPr="00F741AC">
            <w:rPr>
              <w:rStyle w:val="Hyperlink"/>
            </w:rPr>
            <w:fldChar w:fldCharType="end"/>
          </w:r>
        </w:p>
      </w:sdtContent>
    </w:sdt>
    <w:p w:rsidR="000A0A47" w:rsidRPr="000A0A47" w:rsidRDefault="000A0A47" w:rsidP="000A0A47"/>
    <w:p w:rsidR="00627CBB" w:rsidRPr="00DE4C79" w:rsidRDefault="00627CBB" w:rsidP="00627CBB">
      <w:pPr>
        <w:pStyle w:val="AHPRASubhead"/>
        <w:rPr>
          <w:rFonts w:cs="Arial"/>
        </w:rPr>
      </w:pPr>
    </w:p>
    <w:p w:rsidR="005268FB" w:rsidRPr="00DE4C79" w:rsidRDefault="005268FB" w:rsidP="00E73698">
      <w:pPr>
        <w:pStyle w:val="AHPRASubheading"/>
        <w:rPr>
          <w:rFonts w:cs="Arial"/>
        </w:rPr>
      </w:pPr>
    </w:p>
    <w:p w:rsidR="005268FB" w:rsidRPr="00DE4C79" w:rsidRDefault="005268FB" w:rsidP="00E73698">
      <w:pPr>
        <w:pStyle w:val="AHPRASubheading"/>
        <w:rPr>
          <w:rFonts w:cs="Arial"/>
        </w:rPr>
      </w:pPr>
    </w:p>
    <w:p w:rsidR="005268FB" w:rsidRPr="00DE4C79" w:rsidRDefault="005268FB" w:rsidP="00E73698">
      <w:pPr>
        <w:pStyle w:val="AHPRASubheading"/>
        <w:rPr>
          <w:rFonts w:cs="Arial"/>
        </w:rPr>
      </w:pPr>
    </w:p>
    <w:p w:rsidR="005268FB" w:rsidRPr="00DE4C79" w:rsidRDefault="005268FB" w:rsidP="00E73698">
      <w:pPr>
        <w:pStyle w:val="AHPRASubheading"/>
        <w:rPr>
          <w:rFonts w:cs="Arial"/>
        </w:rPr>
      </w:pPr>
    </w:p>
    <w:p w:rsidR="005268FB" w:rsidRPr="00DE4C79" w:rsidRDefault="005268FB" w:rsidP="00E73698">
      <w:pPr>
        <w:pStyle w:val="AHPRASubheading"/>
        <w:rPr>
          <w:rFonts w:cs="Arial"/>
        </w:rPr>
      </w:pPr>
    </w:p>
    <w:p w:rsidR="005268FB" w:rsidRPr="00DE4C79" w:rsidRDefault="005268FB" w:rsidP="00E73698">
      <w:pPr>
        <w:pStyle w:val="AHPRASubheading"/>
        <w:rPr>
          <w:rFonts w:cs="Arial"/>
        </w:rPr>
      </w:pPr>
    </w:p>
    <w:p w:rsidR="00627CBB" w:rsidRDefault="00627CBB" w:rsidP="00E73698">
      <w:pPr>
        <w:pStyle w:val="AHPRASubheading"/>
        <w:rPr>
          <w:rFonts w:cs="Arial"/>
        </w:rPr>
      </w:pPr>
    </w:p>
    <w:p w:rsidR="007722E3" w:rsidRPr="00DE4C79" w:rsidRDefault="007722E3" w:rsidP="00E73698">
      <w:pPr>
        <w:pStyle w:val="AHPRASubheading"/>
        <w:rPr>
          <w:rFonts w:cs="Arial"/>
        </w:rPr>
      </w:pPr>
    </w:p>
    <w:p w:rsidR="00627CBB" w:rsidRPr="00DE4C79" w:rsidRDefault="00627CBB" w:rsidP="00E73698">
      <w:pPr>
        <w:pStyle w:val="AHPRASubheading"/>
        <w:rPr>
          <w:rFonts w:cs="Arial"/>
        </w:rPr>
      </w:pPr>
    </w:p>
    <w:p w:rsidR="005268FB" w:rsidRPr="00DE4C79" w:rsidRDefault="005268FB" w:rsidP="00E73698">
      <w:pPr>
        <w:pStyle w:val="AHPRASubheading"/>
        <w:rPr>
          <w:rFonts w:cs="Arial"/>
        </w:rPr>
      </w:pPr>
    </w:p>
    <w:p w:rsidR="005268FB" w:rsidRPr="00DE4C79" w:rsidRDefault="005268FB" w:rsidP="00E73698">
      <w:pPr>
        <w:pStyle w:val="AHPRASubheading"/>
        <w:rPr>
          <w:rFonts w:cs="Arial"/>
        </w:rPr>
      </w:pPr>
    </w:p>
    <w:p w:rsidR="0024784E" w:rsidRDefault="0024784E" w:rsidP="00E73698">
      <w:pPr>
        <w:pStyle w:val="AHPRASubheading"/>
        <w:rPr>
          <w:rFonts w:cs="Arial"/>
        </w:rPr>
        <w:sectPr w:rsidR="0024784E" w:rsidSect="003074C6">
          <w:headerReference w:type="even" r:id="rId9"/>
          <w:headerReference w:type="default" r:id="rId10"/>
          <w:footerReference w:type="even" r:id="rId11"/>
          <w:footerReference w:type="default" r:id="rId12"/>
          <w:headerReference w:type="first" r:id="rId13"/>
          <w:footerReference w:type="first" r:id="rId14"/>
          <w:pgSz w:w="11900" w:h="16840" w:code="9"/>
          <w:pgMar w:top="1389" w:right="1247" w:bottom="992" w:left="1247" w:header="284" w:footer="387" w:gutter="0"/>
          <w:cols w:space="708"/>
          <w:titlePg/>
          <w:docGrid w:linePitch="326"/>
        </w:sectPr>
      </w:pPr>
    </w:p>
    <w:p w:rsidR="005268FB" w:rsidRDefault="005268FB" w:rsidP="00E73698">
      <w:pPr>
        <w:pStyle w:val="AHPRASubheading"/>
        <w:rPr>
          <w:rFonts w:cs="Arial"/>
        </w:rPr>
      </w:pPr>
    </w:p>
    <w:p w:rsidR="0024784E" w:rsidRDefault="0024784E" w:rsidP="00E73698">
      <w:pPr>
        <w:pStyle w:val="AHPRASubheading"/>
        <w:rPr>
          <w:rFonts w:cs="Arial"/>
        </w:rPr>
      </w:pPr>
    </w:p>
    <w:p w:rsidR="005C2201" w:rsidRPr="00DE4C79" w:rsidRDefault="005C2201" w:rsidP="005C2201">
      <w:pPr>
        <w:pStyle w:val="AHPRADocumentsubheading"/>
      </w:pPr>
      <w:bookmarkStart w:id="5" w:name="_Toc355556953"/>
      <w:bookmarkStart w:id="6" w:name="_Toc320239872"/>
      <w:r>
        <w:t xml:space="preserve">International </w:t>
      </w:r>
      <w:r w:rsidR="000A1696">
        <w:t>c</w:t>
      </w:r>
      <w:r>
        <w:t xml:space="preserve">riminal </w:t>
      </w:r>
      <w:r w:rsidR="000A1696">
        <w:t>h</w:t>
      </w:r>
      <w:r>
        <w:t xml:space="preserve">istory </w:t>
      </w:r>
      <w:r w:rsidR="000A1696">
        <w:t>c</w:t>
      </w:r>
      <w:r>
        <w:t>hecking</w:t>
      </w:r>
      <w:bookmarkEnd w:id="5"/>
    </w:p>
    <w:p w:rsidR="005268FB" w:rsidRPr="00DE4C79" w:rsidRDefault="005268FB" w:rsidP="005268FB">
      <w:pPr>
        <w:pStyle w:val="AHPRASubheading"/>
        <w:spacing w:before="0"/>
        <w:rPr>
          <w:rFonts w:cs="Arial"/>
        </w:rPr>
      </w:pPr>
      <w:r w:rsidRPr="00DE4C79">
        <w:rPr>
          <w:rFonts w:cs="Arial"/>
        </w:rPr>
        <w:t>Background</w:t>
      </w:r>
      <w:bookmarkEnd w:id="6"/>
    </w:p>
    <w:p w:rsidR="005268FB" w:rsidRPr="00DE4C79" w:rsidRDefault="005268FB" w:rsidP="005268FB">
      <w:pPr>
        <w:pStyle w:val="AHPRAbody"/>
        <w:ind w:right="-306"/>
        <w:contextualSpacing/>
      </w:pPr>
      <w:r w:rsidRPr="00DE4C79">
        <w:t xml:space="preserve">There are 14 National Boards in the National Registration and Accreditation Scheme (the National Scheme). Ten National Boards entered the National Scheme in 2010, and a further four joined in 2012. </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Aboriginal and Torres Strait Islander Health Practice Board of Australia (joined the National Scheme on 1 July 2012)</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Chinese Medicine Board of Australia (joined the National Scheme on 1 July 2012)</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Chiropractic Board of Australia</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Dental Board of Australia</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Medical Board of Australia</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Nursing and Midwifery Board of Australia</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Medical Radiation Practice Board of Australia (joined the National Scheme on 1 July 2012)</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Occupational Therapy Board of Australia (joined the National Scheme on 1 July 2012)</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Optometry Board of Australia</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Osteopathy Board of Australia</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Pharmacy Board of Australia</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 xml:space="preserve">Physiotherapy Board of Australia </w:t>
      </w:r>
    </w:p>
    <w:p w:rsidR="005268FB" w:rsidRPr="00DE4C79" w:rsidRDefault="005268FB" w:rsidP="00DE4C79">
      <w:pPr>
        <w:pStyle w:val="Default"/>
        <w:numPr>
          <w:ilvl w:val="0"/>
          <w:numId w:val="34"/>
        </w:numPr>
        <w:spacing w:after="88"/>
        <w:ind w:left="284" w:hanging="284"/>
        <w:contextualSpacing/>
        <w:rPr>
          <w:sz w:val="20"/>
          <w:szCs w:val="20"/>
        </w:rPr>
      </w:pPr>
      <w:r w:rsidRPr="00DE4C79">
        <w:rPr>
          <w:sz w:val="20"/>
          <w:szCs w:val="20"/>
        </w:rPr>
        <w:t>Podiatry Board of Australia, and</w:t>
      </w:r>
    </w:p>
    <w:p w:rsidR="005268FB" w:rsidRPr="00DE4C79" w:rsidRDefault="005268FB" w:rsidP="00DE4C79">
      <w:pPr>
        <w:pStyle w:val="Default"/>
        <w:numPr>
          <w:ilvl w:val="0"/>
          <w:numId w:val="34"/>
        </w:numPr>
        <w:spacing w:after="200"/>
        <w:ind w:left="284" w:hanging="284"/>
        <w:rPr>
          <w:sz w:val="20"/>
          <w:szCs w:val="20"/>
        </w:rPr>
      </w:pPr>
      <w:r w:rsidRPr="00DE4C79">
        <w:rPr>
          <w:sz w:val="20"/>
          <w:szCs w:val="20"/>
        </w:rPr>
        <w:t>Psychology Board of Australia.</w:t>
      </w:r>
    </w:p>
    <w:p w:rsidR="005268FB" w:rsidRPr="00DE4C79" w:rsidRDefault="005268FB" w:rsidP="005268FB">
      <w:pPr>
        <w:pStyle w:val="Default"/>
        <w:spacing w:after="200"/>
        <w:contextualSpacing/>
        <w:rPr>
          <w:sz w:val="20"/>
          <w:szCs w:val="20"/>
        </w:rPr>
      </w:pPr>
      <w:r w:rsidRPr="00DE4C79">
        <w:rPr>
          <w:sz w:val="20"/>
          <w:szCs w:val="20"/>
        </w:rPr>
        <w:t xml:space="preserve">The Australian Health Practitioner Regulation Agency (AHPRA) works in partnership with each of the National Boards to implement the requirements of the National Scheme, which has maintaining public safety at its heart. Further information is available at </w:t>
      </w:r>
      <w:hyperlink r:id="rId15" w:history="1">
        <w:r w:rsidRPr="00DE4C79">
          <w:rPr>
            <w:rStyle w:val="Hyperlink"/>
            <w:sz w:val="20"/>
            <w:szCs w:val="20"/>
          </w:rPr>
          <w:t>www.ahpra.gov.au</w:t>
        </w:r>
      </w:hyperlink>
      <w:r w:rsidRPr="00DE4C79">
        <w:rPr>
          <w:sz w:val="20"/>
          <w:szCs w:val="20"/>
        </w:rPr>
        <w:t xml:space="preserve">. </w:t>
      </w:r>
    </w:p>
    <w:p w:rsidR="00F31C8E" w:rsidRDefault="00A65DF1">
      <w:pPr>
        <w:pStyle w:val="AHPRASubhead"/>
        <w:spacing w:before="360"/>
      </w:pPr>
      <w:r w:rsidRPr="00882F0B">
        <w:t>Relevant sections of the National Law</w:t>
      </w:r>
    </w:p>
    <w:p w:rsidR="00A65DF1" w:rsidRPr="00A65DF1" w:rsidRDefault="00A65DF1" w:rsidP="00A65DF1">
      <w:pPr>
        <w:spacing w:before="120" w:after="120"/>
        <w:rPr>
          <w:rFonts w:ascii="Arial" w:hAnsi="Arial" w:cs="Arial"/>
          <w:sz w:val="20"/>
          <w:szCs w:val="20"/>
        </w:rPr>
      </w:pPr>
      <w:r w:rsidRPr="00A65DF1">
        <w:rPr>
          <w:rFonts w:ascii="Arial" w:hAnsi="Arial" w:cs="Arial"/>
          <w:sz w:val="20"/>
          <w:szCs w:val="20"/>
        </w:rPr>
        <w:t xml:space="preserve">Section 4 of the National Law provides that a body exercising functions under the Law, such as a National Board or AHPRA, must exercise its functions having regard to the objectives and guiding principles of the national registration and accreditation scheme. </w:t>
      </w:r>
    </w:p>
    <w:p w:rsidR="00A65DF1" w:rsidRPr="00A65DF1" w:rsidRDefault="00A65DF1" w:rsidP="00A65DF1">
      <w:pPr>
        <w:spacing w:before="120" w:after="120"/>
        <w:rPr>
          <w:rFonts w:ascii="Arial" w:hAnsi="Arial" w:cs="Arial"/>
          <w:sz w:val="20"/>
          <w:szCs w:val="20"/>
        </w:rPr>
      </w:pPr>
      <w:r w:rsidRPr="00A65DF1">
        <w:rPr>
          <w:rFonts w:ascii="Arial" w:hAnsi="Arial" w:cs="Arial"/>
          <w:sz w:val="20"/>
          <w:szCs w:val="20"/>
        </w:rPr>
        <w:t xml:space="preserve">The objectives of the national registration and accreditation scheme are – </w:t>
      </w:r>
    </w:p>
    <w:p w:rsidR="00A65DF1" w:rsidRPr="00A65DF1" w:rsidRDefault="00A65DF1" w:rsidP="00A65DF1">
      <w:pPr>
        <w:autoSpaceDE w:val="0"/>
        <w:autoSpaceDN w:val="0"/>
        <w:adjustRightInd w:val="0"/>
        <w:spacing w:before="240"/>
        <w:ind w:left="993" w:hanging="426"/>
        <w:rPr>
          <w:rFonts w:ascii="Arial" w:hAnsi="Arial" w:cs="Arial"/>
          <w:i/>
          <w:sz w:val="20"/>
          <w:szCs w:val="20"/>
        </w:rPr>
      </w:pPr>
      <w:r w:rsidRPr="00A65DF1">
        <w:rPr>
          <w:rFonts w:ascii="Arial" w:hAnsi="Arial" w:cs="Arial"/>
          <w:sz w:val="20"/>
          <w:szCs w:val="20"/>
        </w:rPr>
        <w:t>(a)</w:t>
      </w:r>
      <w:r w:rsidRPr="00A65DF1">
        <w:rPr>
          <w:rFonts w:ascii="Arial" w:hAnsi="Arial" w:cs="Arial"/>
          <w:sz w:val="20"/>
          <w:szCs w:val="20"/>
        </w:rPr>
        <w:tab/>
      </w:r>
      <w:r w:rsidRPr="00A65DF1">
        <w:rPr>
          <w:rFonts w:ascii="Arial" w:hAnsi="Arial" w:cs="Arial"/>
          <w:i/>
          <w:sz w:val="20"/>
          <w:szCs w:val="20"/>
        </w:rPr>
        <w:t xml:space="preserve">to provide for the protection of the public by ensuring that only health practitioners who are suitably trained and qualified to </w:t>
      </w:r>
      <w:proofErr w:type="spellStart"/>
      <w:r w:rsidRPr="00A65DF1">
        <w:rPr>
          <w:rFonts w:ascii="Arial" w:hAnsi="Arial" w:cs="Arial"/>
          <w:i/>
          <w:sz w:val="20"/>
          <w:szCs w:val="20"/>
        </w:rPr>
        <w:t>practise</w:t>
      </w:r>
      <w:proofErr w:type="spellEnd"/>
      <w:r w:rsidRPr="00A65DF1">
        <w:rPr>
          <w:rFonts w:ascii="Arial" w:hAnsi="Arial" w:cs="Arial"/>
          <w:i/>
          <w:sz w:val="20"/>
          <w:szCs w:val="20"/>
        </w:rPr>
        <w:t xml:space="preserve"> in a competent and ethical manner are registered; and</w:t>
      </w:r>
    </w:p>
    <w:p w:rsidR="00A65DF1" w:rsidRPr="00A65DF1" w:rsidRDefault="00A65DF1" w:rsidP="00A65DF1">
      <w:pPr>
        <w:autoSpaceDE w:val="0"/>
        <w:autoSpaceDN w:val="0"/>
        <w:adjustRightInd w:val="0"/>
        <w:spacing w:before="240"/>
        <w:ind w:left="993" w:hanging="426"/>
        <w:rPr>
          <w:rFonts w:ascii="Arial" w:hAnsi="Arial" w:cs="Arial"/>
          <w:i/>
          <w:sz w:val="20"/>
          <w:szCs w:val="20"/>
        </w:rPr>
      </w:pPr>
      <w:r w:rsidRPr="00A65DF1">
        <w:rPr>
          <w:rFonts w:ascii="Arial" w:hAnsi="Arial" w:cs="Arial"/>
          <w:i/>
          <w:sz w:val="20"/>
          <w:szCs w:val="20"/>
        </w:rPr>
        <w:t xml:space="preserve">(b) </w:t>
      </w:r>
      <w:r w:rsidRPr="00A65DF1">
        <w:rPr>
          <w:rFonts w:ascii="Arial" w:hAnsi="Arial" w:cs="Arial"/>
          <w:i/>
          <w:sz w:val="20"/>
          <w:szCs w:val="20"/>
        </w:rPr>
        <w:tab/>
        <w:t xml:space="preserve">to facilitate workforce mobility across Australia by reducing the administrative burden for health practitioners wishing to move between participating jurisdictions or to </w:t>
      </w:r>
      <w:proofErr w:type="spellStart"/>
      <w:r w:rsidRPr="00A65DF1">
        <w:rPr>
          <w:rFonts w:ascii="Arial" w:hAnsi="Arial" w:cs="Arial"/>
          <w:i/>
          <w:sz w:val="20"/>
          <w:szCs w:val="20"/>
        </w:rPr>
        <w:t>practise</w:t>
      </w:r>
      <w:proofErr w:type="spellEnd"/>
      <w:r w:rsidRPr="00A65DF1">
        <w:rPr>
          <w:rFonts w:ascii="Arial" w:hAnsi="Arial" w:cs="Arial"/>
          <w:i/>
          <w:sz w:val="20"/>
          <w:szCs w:val="20"/>
        </w:rPr>
        <w:t xml:space="preserve"> in more than one participating jurisdiction; and</w:t>
      </w:r>
    </w:p>
    <w:p w:rsidR="00A65DF1" w:rsidRPr="00A65DF1" w:rsidRDefault="00A65DF1" w:rsidP="00A65DF1">
      <w:pPr>
        <w:autoSpaceDE w:val="0"/>
        <w:autoSpaceDN w:val="0"/>
        <w:adjustRightInd w:val="0"/>
        <w:spacing w:before="240"/>
        <w:ind w:left="993" w:hanging="426"/>
        <w:rPr>
          <w:rFonts w:ascii="Arial" w:hAnsi="Arial" w:cs="Arial"/>
          <w:i/>
          <w:sz w:val="20"/>
          <w:szCs w:val="20"/>
        </w:rPr>
      </w:pPr>
      <w:r w:rsidRPr="00A65DF1">
        <w:rPr>
          <w:rFonts w:ascii="Arial" w:hAnsi="Arial" w:cs="Arial"/>
          <w:i/>
          <w:sz w:val="20"/>
          <w:szCs w:val="20"/>
        </w:rPr>
        <w:t xml:space="preserve">(c) </w:t>
      </w:r>
      <w:r w:rsidRPr="00A65DF1">
        <w:rPr>
          <w:rFonts w:ascii="Arial" w:hAnsi="Arial" w:cs="Arial"/>
          <w:i/>
          <w:sz w:val="20"/>
          <w:szCs w:val="20"/>
        </w:rPr>
        <w:tab/>
      </w:r>
      <w:proofErr w:type="gramStart"/>
      <w:r w:rsidRPr="00A65DF1">
        <w:rPr>
          <w:rFonts w:ascii="Arial" w:hAnsi="Arial" w:cs="Arial"/>
          <w:i/>
          <w:sz w:val="20"/>
          <w:szCs w:val="20"/>
        </w:rPr>
        <w:t>to</w:t>
      </w:r>
      <w:proofErr w:type="gramEnd"/>
      <w:r w:rsidRPr="00A65DF1">
        <w:rPr>
          <w:rFonts w:ascii="Arial" w:hAnsi="Arial" w:cs="Arial"/>
          <w:i/>
          <w:sz w:val="20"/>
          <w:szCs w:val="20"/>
        </w:rPr>
        <w:t xml:space="preserve"> facilitate the provision of high quality education and training of health practitioners; and</w:t>
      </w:r>
    </w:p>
    <w:p w:rsidR="00A65DF1" w:rsidRPr="00A65DF1" w:rsidRDefault="00A65DF1" w:rsidP="00A65DF1">
      <w:pPr>
        <w:autoSpaceDE w:val="0"/>
        <w:autoSpaceDN w:val="0"/>
        <w:adjustRightInd w:val="0"/>
        <w:spacing w:before="240"/>
        <w:ind w:left="993" w:hanging="426"/>
        <w:rPr>
          <w:rFonts w:ascii="Arial" w:hAnsi="Arial" w:cs="Arial"/>
          <w:i/>
          <w:sz w:val="20"/>
          <w:szCs w:val="20"/>
        </w:rPr>
      </w:pPr>
      <w:r w:rsidRPr="00A65DF1">
        <w:rPr>
          <w:rFonts w:ascii="Arial" w:hAnsi="Arial" w:cs="Arial"/>
          <w:i/>
          <w:sz w:val="20"/>
          <w:szCs w:val="20"/>
        </w:rPr>
        <w:t>(d)</w:t>
      </w:r>
      <w:r w:rsidRPr="00A65DF1">
        <w:rPr>
          <w:rFonts w:ascii="Arial" w:hAnsi="Arial" w:cs="Arial"/>
          <w:i/>
          <w:sz w:val="20"/>
          <w:szCs w:val="20"/>
        </w:rPr>
        <w:tab/>
      </w:r>
      <w:proofErr w:type="gramStart"/>
      <w:r w:rsidRPr="00A65DF1">
        <w:rPr>
          <w:rFonts w:ascii="Arial" w:hAnsi="Arial" w:cs="Arial"/>
          <w:i/>
          <w:sz w:val="20"/>
          <w:szCs w:val="20"/>
        </w:rPr>
        <w:t>to</w:t>
      </w:r>
      <w:proofErr w:type="gramEnd"/>
      <w:r w:rsidRPr="00A65DF1">
        <w:rPr>
          <w:rFonts w:ascii="Arial" w:hAnsi="Arial" w:cs="Arial"/>
          <w:i/>
          <w:sz w:val="20"/>
          <w:szCs w:val="20"/>
        </w:rPr>
        <w:t xml:space="preserve"> facilitate the rigorous and responsive assessment of overseas-trained health practitioners; and</w:t>
      </w:r>
    </w:p>
    <w:p w:rsidR="00A65DF1" w:rsidRPr="00A65DF1" w:rsidRDefault="00A65DF1" w:rsidP="00A65DF1">
      <w:pPr>
        <w:autoSpaceDE w:val="0"/>
        <w:autoSpaceDN w:val="0"/>
        <w:adjustRightInd w:val="0"/>
        <w:spacing w:before="240"/>
        <w:ind w:left="993" w:hanging="426"/>
        <w:rPr>
          <w:rFonts w:ascii="Arial" w:hAnsi="Arial" w:cs="Arial"/>
          <w:i/>
          <w:sz w:val="20"/>
          <w:szCs w:val="20"/>
        </w:rPr>
      </w:pPr>
      <w:r w:rsidRPr="00A65DF1">
        <w:rPr>
          <w:rFonts w:ascii="Arial" w:hAnsi="Arial" w:cs="Arial"/>
          <w:i/>
          <w:sz w:val="20"/>
          <w:szCs w:val="20"/>
        </w:rPr>
        <w:t xml:space="preserve">(e) </w:t>
      </w:r>
      <w:r w:rsidRPr="00A65DF1">
        <w:rPr>
          <w:rFonts w:ascii="Arial" w:hAnsi="Arial" w:cs="Arial"/>
          <w:i/>
          <w:sz w:val="20"/>
          <w:szCs w:val="20"/>
        </w:rPr>
        <w:tab/>
      </w:r>
      <w:proofErr w:type="gramStart"/>
      <w:r w:rsidRPr="00A65DF1">
        <w:rPr>
          <w:rFonts w:ascii="Arial" w:hAnsi="Arial" w:cs="Arial"/>
          <w:i/>
          <w:sz w:val="20"/>
          <w:szCs w:val="20"/>
        </w:rPr>
        <w:t>to</w:t>
      </w:r>
      <w:proofErr w:type="gramEnd"/>
      <w:r w:rsidRPr="00A65DF1">
        <w:rPr>
          <w:rFonts w:ascii="Arial" w:hAnsi="Arial" w:cs="Arial"/>
          <w:i/>
          <w:sz w:val="20"/>
          <w:szCs w:val="20"/>
        </w:rPr>
        <w:t xml:space="preserve"> facilitate access to services provided by health practitioners in accordance with the public interest; and</w:t>
      </w:r>
    </w:p>
    <w:p w:rsidR="00A65DF1" w:rsidRPr="00A65DF1" w:rsidRDefault="00A65DF1" w:rsidP="00A65DF1">
      <w:pPr>
        <w:autoSpaceDE w:val="0"/>
        <w:autoSpaceDN w:val="0"/>
        <w:adjustRightInd w:val="0"/>
        <w:spacing w:before="240"/>
        <w:ind w:left="993" w:hanging="426"/>
        <w:rPr>
          <w:rFonts w:ascii="Arial" w:hAnsi="Arial" w:cs="Arial"/>
          <w:sz w:val="20"/>
          <w:szCs w:val="20"/>
        </w:rPr>
      </w:pPr>
      <w:r w:rsidRPr="00A65DF1">
        <w:rPr>
          <w:rFonts w:ascii="Arial" w:hAnsi="Arial" w:cs="Arial"/>
          <w:i/>
          <w:sz w:val="20"/>
          <w:szCs w:val="20"/>
        </w:rPr>
        <w:t xml:space="preserve">(f) </w:t>
      </w:r>
      <w:r w:rsidRPr="00A65DF1">
        <w:rPr>
          <w:rFonts w:ascii="Arial" w:hAnsi="Arial" w:cs="Arial"/>
          <w:i/>
          <w:sz w:val="20"/>
          <w:szCs w:val="20"/>
        </w:rPr>
        <w:tab/>
      </w:r>
      <w:proofErr w:type="gramStart"/>
      <w:r w:rsidRPr="00A65DF1">
        <w:rPr>
          <w:rFonts w:ascii="Arial" w:hAnsi="Arial" w:cs="Arial"/>
          <w:i/>
          <w:sz w:val="20"/>
          <w:szCs w:val="20"/>
        </w:rPr>
        <w:t>to</w:t>
      </w:r>
      <w:proofErr w:type="gramEnd"/>
      <w:r w:rsidRPr="00A65DF1">
        <w:rPr>
          <w:rFonts w:ascii="Arial" w:hAnsi="Arial" w:cs="Arial"/>
          <w:i/>
          <w:sz w:val="20"/>
          <w:szCs w:val="20"/>
        </w:rPr>
        <w:t xml:space="preserve"> enable the continuous development of a flexible, responsive and sustainable Australian health workforce and to enable innovation in the education of, and service delivery by, health practitioners.</w:t>
      </w:r>
    </w:p>
    <w:p w:rsidR="00A65DF1" w:rsidRPr="00A65DF1" w:rsidRDefault="00A65DF1" w:rsidP="00A65DF1">
      <w:pPr>
        <w:spacing w:before="120" w:after="120"/>
        <w:rPr>
          <w:rFonts w:ascii="Arial" w:hAnsi="Arial" w:cs="Arial"/>
          <w:sz w:val="20"/>
          <w:szCs w:val="20"/>
        </w:rPr>
      </w:pPr>
      <w:r w:rsidRPr="00A65DF1">
        <w:rPr>
          <w:rFonts w:ascii="Arial" w:hAnsi="Arial" w:cs="Arial"/>
          <w:sz w:val="20"/>
          <w:szCs w:val="20"/>
        </w:rPr>
        <w:t>Section 79 of the National Law provides that:</w:t>
      </w:r>
    </w:p>
    <w:p w:rsidR="00A65DF1" w:rsidRPr="00A65DF1" w:rsidRDefault="00A65DF1" w:rsidP="00A65DF1">
      <w:pPr>
        <w:pStyle w:val="ListParagraph"/>
        <w:numPr>
          <w:ilvl w:val="0"/>
          <w:numId w:val="90"/>
        </w:numPr>
        <w:spacing w:before="120" w:after="120"/>
        <w:ind w:right="1132"/>
        <w:rPr>
          <w:rFonts w:cs="Arial"/>
          <w:i/>
          <w:sz w:val="20"/>
          <w:szCs w:val="20"/>
        </w:rPr>
      </w:pPr>
      <w:proofErr w:type="gramStart"/>
      <w:r w:rsidRPr="00A65DF1">
        <w:rPr>
          <w:rFonts w:cs="Arial"/>
          <w:i/>
          <w:sz w:val="20"/>
          <w:szCs w:val="20"/>
        </w:rPr>
        <w:t>before</w:t>
      </w:r>
      <w:proofErr w:type="gramEnd"/>
      <w:r w:rsidRPr="00A65DF1">
        <w:rPr>
          <w:rFonts w:cs="Arial"/>
          <w:i/>
          <w:sz w:val="20"/>
          <w:szCs w:val="20"/>
        </w:rPr>
        <w:t xml:space="preserve"> deciding an application for registration, a National Board must check the applicant’s criminal history.</w:t>
      </w:r>
    </w:p>
    <w:p w:rsidR="00A65DF1" w:rsidRPr="00A65DF1" w:rsidRDefault="00A65DF1" w:rsidP="00A65DF1">
      <w:pPr>
        <w:pStyle w:val="ListParagraph"/>
        <w:spacing w:before="120" w:after="120"/>
        <w:ind w:left="927" w:right="1132"/>
        <w:rPr>
          <w:rFonts w:cs="Arial"/>
          <w:i/>
          <w:sz w:val="20"/>
          <w:szCs w:val="20"/>
        </w:rPr>
      </w:pPr>
    </w:p>
    <w:p w:rsidR="00A65DF1" w:rsidRPr="00A65DF1" w:rsidRDefault="00A65DF1" w:rsidP="00A65DF1">
      <w:pPr>
        <w:pStyle w:val="ListParagraph"/>
        <w:numPr>
          <w:ilvl w:val="0"/>
          <w:numId w:val="90"/>
        </w:numPr>
        <w:spacing w:before="120" w:after="120"/>
        <w:ind w:right="1132"/>
        <w:rPr>
          <w:rFonts w:cs="Arial"/>
          <w:i/>
          <w:sz w:val="20"/>
          <w:szCs w:val="20"/>
        </w:rPr>
      </w:pPr>
      <w:r w:rsidRPr="00A65DF1">
        <w:rPr>
          <w:rFonts w:cs="Arial"/>
          <w:i/>
          <w:sz w:val="20"/>
          <w:szCs w:val="20"/>
        </w:rPr>
        <w:t>For the purposes of checking an applicant’s criminal history, a National Board may obtain a written report about the criminal history of the applicant from any of the following—</w:t>
      </w:r>
    </w:p>
    <w:p w:rsidR="00A65DF1" w:rsidRPr="00A65DF1" w:rsidRDefault="00A65DF1" w:rsidP="00A65DF1">
      <w:pPr>
        <w:spacing w:before="120" w:after="120"/>
        <w:ind w:left="1560" w:right="1132" w:hanging="426"/>
        <w:rPr>
          <w:rFonts w:ascii="Arial" w:hAnsi="Arial" w:cs="Arial"/>
          <w:i/>
          <w:sz w:val="20"/>
          <w:szCs w:val="20"/>
        </w:rPr>
      </w:pPr>
      <w:r w:rsidRPr="00A65DF1">
        <w:rPr>
          <w:rFonts w:ascii="Arial" w:hAnsi="Arial" w:cs="Arial"/>
          <w:i/>
          <w:sz w:val="20"/>
          <w:szCs w:val="20"/>
        </w:rPr>
        <w:t xml:space="preserve">(a) </w:t>
      </w:r>
      <w:r w:rsidRPr="00A65DF1">
        <w:rPr>
          <w:rFonts w:ascii="Arial" w:hAnsi="Arial" w:cs="Arial"/>
          <w:i/>
          <w:sz w:val="20"/>
          <w:szCs w:val="20"/>
        </w:rPr>
        <w:tab/>
        <w:t>CrimTrac;</w:t>
      </w:r>
    </w:p>
    <w:p w:rsidR="00A65DF1" w:rsidRPr="00A65DF1" w:rsidRDefault="00A65DF1" w:rsidP="00A65DF1">
      <w:pPr>
        <w:spacing w:before="120" w:after="120"/>
        <w:ind w:left="1560" w:right="1132" w:hanging="426"/>
        <w:rPr>
          <w:rFonts w:ascii="Arial" w:hAnsi="Arial" w:cs="Arial"/>
          <w:i/>
          <w:sz w:val="20"/>
          <w:szCs w:val="20"/>
        </w:rPr>
      </w:pPr>
      <w:r w:rsidRPr="00A65DF1">
        <w:rPr>
          <w:rFonts w:ascii="Arial" w:hAnsi="Arial" w:cs="Arial"/>
          <w:i/>
          <w:sz w:val="20"/>
          <w:szCs w:val="20"/>
        </w:rPr>
        <w:t xml:space="preserve">(b) </w:t>
      </w:r>
      <w:r w:rsidRPr="00A65DF1">
        <w:rPr>
          <w:rFonts w:ascii="Arial" w:hAnsi="Arial" w:cs="Arial"/>
          <w:i/>
          <w:sz w:val="20"/>
          <w:szCs w:val="20"/>
        </w:rPr>
        <w:tab/>
      </w:r>
      <w:proofErr w:type="gramStart"/>
      <w:r w:rsidRPr="00A65DF1">
        <w:rPr>
          <w:rFonts w:ascii="Arial" w:hAnsi="Arial" w:cs="Arial"/>
          <w:i/>
          <w:sz w:val="20"/>
          <w:szCs w:val="20"/>
        </w:rPr>
        <w:t>a</w:t>
      </w:r>
      <w:proofErr w:type="gramEnd"/>
      <w:r w:rsidRPr="00A65DF1">
        <w:rPr>
          <w:rFonts w:ascii="Arial" w:hAnsi="Arial" w:cs="Arial"/>
          <w:i/>
          <w:sz w:val="20"/>
          <w:szCs w:val="20"/>
        </w:rPr>
        <w:t xml:space="preserve"> police commissioner;</w:t>
      </w:r>
    </w:p>
    <w:p w:rsidR="00A65DF1" w:rsidRPr="00A65DF1" w:rsidRDefault="00A65DF1" w:rsidP="00A65DF1">
      <w:pPr>
        <w:spacing w:before="120" w:after="120"/>
        <w:ind w:left="1560" w:right="1132" w:hanging="426"/>
        <w:rPr>
          <w:rFonts w:ascii="Arial" w:hAnsi="Arial" w:cs="Arial"/>
          <w:i/>
          <w:sz w:val="20"/>
          <w:szCs w:val="20"/>
        </w:rPr>
      </w:pPr>
      <w:r w:rsidRPr="00A65DF1">
        <w:rPr>
          <w:rFonts w:ascii="Arial" w:hAnsi="Arial" w:cs="Arial"/>
          <w:i/>
          <w:sz w:val="20"/>
          <w:szCs w:val="20"/>
        </w:rPr>
        <w:t xml:space="preserve">(c) </w:t>
      </w:r>
      <w:r w:rsidRPr="00A65DF1">
        <w:rPr>
          <w:rFonts w:ascii="Arial" w:hAnsi="Arial" w:cs="Arial"/>
          <w:i/>
          <w:sz w:val="20"/>
          <w:szCs w:val="20"/>
        </w:rPr>
        <w:tab/>
      </w:r>
      <w:proofErr w:type="gramStart"/>
      <w:r w:rsidRPr="00A65DF1">
        <w:rPr>
          <w:rFonts w:ascii="Arial" w:hAnsi="Arial" w:cs="Arial"/>
          <w:i/>
          <w:sz w:val="20"/>
          <w:szCs w:val="20"/>
        </w:rPr>
        <w:t>an</w:t>
      </w:r>
      <w:proofErr w:type="gramEnd"/>
      <w:r w:rsidRPr="00A65DF1">
        <w:rPr>
          <w:rFonts w:ascii="Arial" w:hAnsi="Arial" w:cs="Arial"/>
          <w:i/>
          <w:sz w:val="20"/>
          <w:szCs w:val="20"/>
        </w:rPr>
        <w:t xml:space="preserve"> entity in a jurisdiction outside Australia that has access to records about the criminal history of persons in that jurisdiction.</w:t>
      </w:r>
    </w:p>
    <w:p w:rsidR="00A65DF1" w:rsidRPr="00A65DF1" w:rsidRDefault="00A65DF1" w:rsidP="00A65DF1">
      <w:pPr>
        <w:spacing w:before="120" w:after="120"/>
        <w:ind w:right="1132"/>
        <w:rPr>
          <w:rFonts w:ascii="Arial" w:hAnsi="Arial" w:cs="Arial"/>
          <w:sz w:val="20"/>
          <w:szCs w:val="20"/>
        </w:rPr>
      </w:pPr>
      <w:r w:rsidRPr="00A65DF1">
        <w:rPr>
          <w:rFonts w:ascii="Arial" w:hAnsi="Arial" w:cs="Arial"/>
          <w:sz w:val="20"/>
          <w:szCs w:val="20"/>
        </w:rPr>
        <w:t xml:space="preserve">The National Law defines ‘criminal history’ as: </w:t>
      </w:r>
    </w:p>
    <w:p w:rsidR="00A65DF1" w:rsidRPr="00A65DF1" w:rsidRDefault="00A65DF1" w:rsidP="00A65DF1">
      <w:pPr>
        <w:spacing w:before="120" w:after="120"/>
        <w:ind w:left="1134" w:right="1132" w:hanging="425"/>
        <w:rPr>
          <w:rFonts w:ascii="Arial" w:hAnsi="Arial" w:cs="Arial"/>
          <w:i/>
          <w:sz w:val="20"/>
          <w:szCs w:val="20"/>
        </w:rPr>
      </w:pPr>
      <w:r w:rsidRPr="00A65DF1">
        <w:rPr>
          <w:rFonts w:ascii="Arial" w:hAnsi="Arial" w:cs="Arial"/>
          <w:i/>
          <w:sz w:val="20"/>
          <w:szCs w:val="20"/>
        </w:rPr>
        <w:t xml:space="preserve">(a) </w:t>
      </w:r>
      <w:r w:rsidRPr="00A65DF1">
        <w:rPr>
          <w:rFonts w:ascii="Arial" w:hAnsi="Arial" w:cs="Arial"/>
          <w:i/>
          <w:sz w:val="20"/>
          <w:szCs w:val="20"/>
        </w:rPr>
        <w:tab/>
      </w:r>
      <w:proofErr w:type="gramStart"/>
      <w:r w:rsidRPr="00A65DF1">
        <w:rPr>
          <w:rFonts w:ascii="Arial" w:hAnsi="Arial" w:cs="Arial"/>
          <w:i/>
          <w:sz w:val="20"/>
          <w:szCs w:val="20"/>
        </w:rPr>
        <w:t>every</w:t>
      </w:r>
      <w:proofErr w:type="gramEnd"/>
      <w:r w:rsidRPr="00A65DF1">
        <w:rPr>
          <w:rFonts w:ascii="Arial" w:hAnsi="Arial" w:cs="Arial"/>
          <w:i/>
          <w:sz w:val="20"/>
          <w:szCs w:val="20"/>
        </w:rPr>
        <w:t xml:space="preserve"> conviction of the person for an offence, in a participating jurisdiction or elsewhere, and whether before or after the commencement of this Law; </w:t>
      </w:r>
    </w:p>
    <w:p w:rsidR="00A65DF1" w:rsidRPr="00A65DF1" w:rsidRDefault="00A65DF1" w:rsidP="00A65DF1">
      <w:pPr>
        <w:spacing w:before="120" w:after="120"/>
        <w:ind w:left="1134" w:right="1132" w:hanging="425"/>
        <w:rPr>
          <w:rFonts w:ascii="Arial" w:hAnsi="Arial" w:cs="Arial"/>
          <w:i/>
          <w:sz w:val="20"/>
          <w:szCs w:val="20"/>
        </w:rPr>
      </w:pPr>
      <w:r w:rsidRPr="00A65DF1">
        <w:rPr>
          <w:rFonts w:ascii="Arial" w:hAnsi="Arial" w:cs="Arial"/>
          <w:i/>
          <w:sz w:val="20"/>
          <w:szCs w:val="20"/>
        </w:rPr>
        <w:t xml:space="preserve">(b) </w:t>
      </w:r>
      <w:r w:rsidRPr="00A65DF1">
        <w:rPr>
          <w:rFonts w:ascii="Arial" w:hAnsi="Arial" w:cs="Arial"/>
          <w:i/>
          <w:sz w:val="20"/>
          <w:szCs w:val="20"/>
        </w:rPr>
        <w:tab/>
        <w:t xml:space="preserve">every plea of guilty or finding of guilt by a court of the person for an offence, in a participating jurisdiction or elsewhere, and whether before or after the commencement of this Law and whether or not a conviction is recorded for the offence; </w:t>
      </w:r>
    </w:p>
    <w:p w:rsidR="00A65DF1" w:rsidRPr="000A1696" w:rsidRDefault="00A65DF1" w:rsidP="00A65DF1">
      <w:pPr>
        <w:spacing w:before="120" w:after="120"/>
        <w:ind w:left="1134" w:right="1132" w:hanging="425"/>
        <w:rPr>
          <w:rFonts w:ascii="Arial" w:hAnsi="Arial" w:cs="Arial"/>
          <w:sz w:val="20"/>
          <w:szCs w:val="20"/>
        </w:rPr>
      </w:pPr>
      <w:r w:rsidRPr="00A65DF1">
        <w:rPr>
          <w:rFonts w:ascii="Arial" w:hAnsi="Arial" w:cs="Arial"/>
          <w:i/>
          <w:sz w:val="20"/>
          <w:szCs w:val="20"/>
        </w:rPr>
        <w:t xml:space="preserve">(c) </w:t>
      </w:r>
      <w:r w:rsidRPr="00A65DF1">
        <w:rPr>
          <w:rFonts w:ascii="Arial" w:hAnsi="Arial" w:cs="Arial"/>
          <w:i/>
          <w:sz w:val="20"/>
          <w:szCs w:val="20"/>
        </w:rPr>
        <w:tab/>
      </w:r>
      <w:proofErr w:type="gramStart"/>
      <w:r w:rsidRPr="00A65DF1">
        <w:rPr>
          <w:rFonts w:ascii="Arial" w:hAnsi="Arial" w:cs="Arial"/>
          <w:i/>
          <w:sz w:val="20"/>
          <w:szCs w:val="20"/>
        </w:rPr>
        <w:t>every</w:t>
      </w:r>
      <w:proofErr w:type="gramEnd"/>
      <w:r w:rsidRPr="00A65DF1">
        <w:rPr>
          <w:rFonts w:ascii="Arial" w:hAnsi="Arial" w:cs="Arial"/>
          <w:i/>
          <w:sz w:val="20"/>
          <w:szCs w:val="20"/>
        </w:rPr>
        <w:t xml:space="preserve"> charge made against the person for an offence, in a participating jurisdiction or elsewhere, and whether before or after the commencement of this </w:t>
      </w:r>
      <w:r w:rsidRPr="000A1696">
        <w:rPr>
          <w:rFonts w:ascii="Arial" w:hAnsi="Arial" w:cs="Arial"/>
          <w:i/>
          <w:sz w:val="20"/>
          <w:szCs w:val="20"/>
        </w:rPr>
        <w:t xml:space="preserve">Law. </w:t>
      </w:r>
    </w:p>
    <w:p w:rsidR="00F31C8E" w:rsidRDefault="00F741AC">
      <w:pPr>
        <w:pStyle w:val="AHPRASubhead"/>
        <w:spacing w:before="120"/>
        <w:rPr>
          <w:b w:val="0"/>
          <w:color w:val="auto"/>
        </w:rPr>
      </w:pPr>
      <w:r w:rsidRPr="00F741AC">
        <w:rPr>
          <w:b w:val="0"/>
          <w:color w:val="auto"/>
        </w:rPr>
        <w:t>The word ‘offence’ is not defined in the National Law and has its ordinary meaning of ’a breach of the law’.</w:t>
      </w:r>
    </w:p>
    <w:p w:rsidR="00F31C8E" w:rsidRDefault="00062D11">
      <w:pPr>
        <w:pStyle w:val="AHPRASubhead"/>
        <w:spacing w:before="360"/>
      </w:pPr>
      <w:r w:rsidRPr="00062D11">
        <w:t>Current process</w:t>
      </w:r>
      <w:r w:rsidR="00C77D44">
        <w:t xml:space="preserve"> for checking criminal history</w:t>
      </w:r>
    </w:p>
    <w:p w:rsidR="000A1696" w:rsidRDefault="00062D11" w:rsidP="00A65DF1">
      <w:pPr>
        <w:rPr>
          <w:rFonts w:ascii="Arial" w:hAnsi="Arial" w:cs="Arial"/>
          <w:sz w:val="20"/>
          <w:szCs w:val="20"/>
        </w:rPr>
      </w:pPr>
      <w:r>
        <w:rPr>
          <w:rFonts w:ascii="Arial" w:hAnsi="Arial" w:cs="Arial"/>
          <w:sz w:val="20"/>
          <w:szCs w:val="20"/>
        </w:rPr>
        <w:t>S</w:t>
      </w:r>
      <w:r w:rsidR="00A65DF1" w:rsidRPr="00A65DF1">
        <w:rPr>
          <w:rFonts w:ascii="Arial" w:hAnsi="Arial" w:cs="Arial"/>
          <w:sz w:val="20"/>
          <w:szCs w:val="20"/>
        </w:rPr>
        <w:t xml:space="preserve">ection 79 of the National Law requires that </w:t>
      </w:r>
      <w:r w:rsidR="009A68A8">
        <w:rPr>
          <w:rFonts w:ascii="Arial" w:hAnsi="Arial" w:cs="Arial"/>
          <w:sz w:val="20"/>
          <w:szCs w:val="20"/>
        </w:rPr>
        <w:t>each</w:t>
      </w:r>
      <w:r w:rsidR="009A68A8" w:rsidRPr="00A65DF1">
        <w:rPr>
          <w:rFonts w:ascii="Arial" w:hAnsi="Arial" w:cs="Arial"/>
          <w:sz w:val="20"/>
          <w:szCs w:val="20"/>
        </w:rPr>
        <w:t xml:space="preserve"> </w:t>
      </w:r>
      <w:r w:rsidR="00A65DF1" w:rsidRPr="00A65DF1">
        <w:rPr>
          <w:rFonts w:ascii="Arial" w:hAnsi="Arial" w:cs="Arial"/>
          <w:sz w:val="20"/>
          <w:szCs w:val="20"/>
        </w:rPr>
        <w:t>Board consider</w:t>
      </w:r>
      <w:r w:rsidR="009A68A8">
        <w:rPr>
          <w:rFonts w:ascii="Arial" w:hAnsi="Arial" w:cs="Arial"/>
          <w:sz w:val="20"/>
          <w:szCs w:val="20"/>
        </w:rPr>
        <w:t>s the</w:t>
      </w:r>
      <w:r w:rsidR="00A65DF1" w:rsidRPr="00A65DF1">
        <w:rPr>
          <w:rFonts w:ascii="Arial" w:hAnsi="Arial" w:cs="Arial"/>
          <w:sz w:val="20"/>
          <w:szCs w:val="20"/>
        </w:rPr>
        <w:t xml:space="preserve"> criminal history</w:t>
      </w:r>
      <w:r w:rsidR="009A68A8">
        <w:rPr>
          <w:rFonts w:ascii="Arial" w:hAnsi="Arial" w:cs="Arial"/>
          <w:sz w:val="20"/>
          <w:szCs w:val="20"/>
        </w:rPr>
        <w:t xml:space="preserve"> of applicants for registration, whether the criminal history occurred inside or outside </w:t>
      </w:r>
      <w:r w:rsidR="00A65DF1" w:rsidRPr="00A65DF1">
        <w:rPr>
          <w:rFonts w:ascii="Arial" w:hAnsi="Arial" w:cs="Arial"/>
          <w:sz w:val="20"/>
          <w:szCs w:val="20"/>
        </w:rPr>
        <w:t xml:space="preserve">Australia. </w:t>
      </w:r>
    </w:p>
    <w:p w:rsidR="00A65DF1" w:rsidRPr="00A65DF1" w:rsidRDefault="00A65DF1" w:rsidP="00A65DF1">
      <w:pPr>
        <w:rPr>
          <w:rFonts w:ascii="Arial" w:hAnsi="Arial" w:cs="Arial"/>
          <w:sz w:val="20"/>
          <w:szCs w:val="20"/>
        </w:rPr>
      </w:pPr>
      <w:r w:rsidRPr="00A65DF1">
        <w:rPr>
          <w:rFonts w:ascii="Arial" w:hAnsi="Arial" w:cs="Arial"/>
          <w:sz w:val="20"/>
          <w:szCs w:val="20"/>
        </w:rPr>
        <w:t>The current approach to checking criminal histories involves:</w:t>
      </w:r>
    </w:p>
    <w:p w:rsidR="00A65DF1" w:rsidRPr="00A65DF1" w:rsidRDefault="00A65DF1" w:rsidP="00A65DF1">
      <w:pPr>
        <w:pStyle w:val="ListParagraph"/>
        <w:numPr>
          <w:ilvl w:val="0"/>
          <w:numId w:val="89"/>
        </w:numPr>
        <w:spacing w:before="120" w:after="120"/>
        <w:ind w:left="714" w:hanging="357"/>
        <w:rPr>
          <w:rFonts w:cs="Arial"/>
          <w:sz w:val="20"/>
          <w:szCs w:val="20"/>
        </w:rPr>
      </w:pPr>
      <w:r w:rsidRPr="00A65DF1">
        <w:rPr>
          <w:rFonts w:cs="Arial"/>
          <w:sz w:val="20"/>
          <w:szCs w:val="20"/>
        </w:rPr>
        <w:t>seeking an Australian criminal history through CrimTrac and</w:t>
      </w:r>
    </w:p>
    <w:p w:rsidR="00A65DF1" w:rsidRPr="00A65DF1" w:rsidRDefault="00A65DF1" w:rsidP="00A65DF1">
      <w:pPr>
        <w:pStyle w:val="ListParagraph"/>
        <w:spacing w:before="120" w:after="120"/>
        <w:ind w:left="714"/>
        <w:rPr>
          <w:rFonts w:cs="Arial"/>
          <w:sz w:val="20"/>
          <w:szCs w:val="20"/>
        </w:rPr>
      </w:pPr>
    </w:p>
    <w:p w:rsidR="009A68A8" w:rsidRPr="005C2201" w:rsidRDefault="00A65DF1" w:rsidP="009A68A8">
      <w:pPr>
        <w:pStyle w:val="ListParagraph"/>
        <w:numPr>
          <w:ilvl w:val="0"/>
          <w:numId w:val="89"/>
        </w:numPr>
        <w:spacing w:before="120" w:after="0"/>
        <w:ind w:left="714" w:hanging="357"/>
        <w:rPr>
          <w:rFonts w:cs="Arial"/>
          <w:sz w:val="20"/>
          <w:szCs w:val="20"/>
        </w:rPr>
      </w:pPr>
      <w:proofErr w:type="gramStart"/>
      <w:r w:rsidRPr="00A65DF1">
        <w:rPr>
          <w:rFonts w:cs="Arial"/>
          <w:sz w:val="20"/>
          <w:szCs w:val="20"/>
        </w:rPr>
        <w:t>requiring</w:t>
      </w:r>
      <w:proofErr w:type="gramEnd"/>
      <w:r w:rsidRPr="00A65DF1">
        <w:rPr>
          <w:rFonts w:cs="Arial"/>
          <w:sz w:val="20"/>
          <w:szCs w:val="20"/>
        </w:rPr>
        <w:t xml:space="preserve"> the applicant to sign a declaration on the registration application form disclosing their criminal history in all countries</w:t>
      </w:r>
      <w:r w:rsidR="000A1696">
        <w:rPr>
          <w:rFonts w:cs="Arial"/>
          <w:sz w:val="20"/>
          <w:szCs w:val="20"/>
        </w:rPr>
        <w:t>,</w:t>
      </w:r>
      <w:r w:rsidRPr="00A65DF1">
        <w:rPr>
          <w:rFonts w:cs="Arial"/>
          <w:sz w:val="20"/>
          <w:szCs w:val="20"/>
        </w:rPr>
        <w:t xml:space="preserve"> including Australia. </w:t>
      </w:r>
      <w:r w:rsidR="00D632E2">
        <w:rPr>
          <w:rFonts w:cs="Arial"/>
          <w:sz w:val="20"/>
          <w:szCs w:val="20"/>
        </w:rPr>
        <w:t xml:space="preserve">In cases where </w:t>
      </w:r>
      <w:r w:rsidRPr="00A65DF1">
        <w:rPr>
          <w:rFonts w:cs="Arial"/>
          <w:sz w:val="20"/>
          <w:szCs w:val="20"/>
        </w:rPr>
        <w:t>applicant</w:t>
      </w:r>
      <w:r w:rsidR="000A1696">
        <w:rPr>
          <w:rFonts w:cs="Arial"/>
          <w:sz w:val="20"/>
          <w:szCs w:val="20"/>
        </w:rPr>
        <w:t>s declare that they</w:t>
      </w:r>
      <w:r w:rsidRPr="00A65DF1">
        <w:rPr>
          <w:rFonts w:cs="Arial"/>
          <w:sz w:val="20"/>
          <w:szCs w:val="20"/>
        </w:rPr>
        <w:t xml:space="preserve"> ha</w:t>
      </w:r>
      <w:r w:rsidR="000A1696">
        <w:rPr>
          <w:rFonts w:cs="Arial"/>
          <w:sz w:val="20"/>
          <w:szCs w:val="20"/>
        </w:rPr>
        <w:t>ve</w:t>
      </w:r>
      <w:r w:rsidRPr="00A65DF1">
        <w:rPr>
          <w:rFonts w:cs="Arial"/>
          <w:sz w:val="20"/>
          <w:szCs w:val="20"/>
        </w:rPr>
        <w:t xml:space="preserve"> no criminal history outside Australia</w:t>
      </w:r>
      <w:r w:rsidR="00D632E2">
        <w:rPr>
          <w:rFonts w:cs="Arial"/>
          <w:sz w:val="20"/>
          <w:szCs w:val="20"/>
        </w:rPr>
        <w:t>;</w:t>
      </w:r>
      <w:r w:rsidRPr="00A65DF1">
        <w:rPr>
          <w:rFonts w:cs="Arial"/>
          <w:sz w:val="20"/>
          <w:szCs w:val="20"/>
        </w:rPr>
        <w:t xml:space="preserve"> no further evidence, audit or authentication is currently required, </w:t>
      </w:r>
      <w:proofErr w:type="gramStart"/>
      <w:r w:rsidRPr="00A65DF1">
        <w:rPr>
          <w:rFonts w:cs="Arial"/>
          <w:sz w:val="20"/>
          <w:szCs w:val="20"/>
        </w:rPr>
        <w:t>nor</w:t>
      </w:r>
      <w:proofErr w:type="gramEnd"/>
      <w:r w:rsidRPr="00A65DF1">
        <w:rPr>
          <w:rFonts w:cs="Arial"/>
          <w:sz w:val="20"/>
          <w:szCs w:val="20"/>
        </w:rPr>
        <w:t xml:space="preserve"> sought. </w:t>
      </w:r>
      <w:r w:rsidR="00D632E2">
        <w:rPr>
          <w:rFonts w:cs="Arial"/>
          <w:sz w:val="20"/>
          <w:szCs w:val="20"/>
        </w:rPr>
        <w:t>In cases where applicants declare</w:t>
      </w:r>
      <w:r w:rsidRPr="00A65DF1">
        <w:rPr>
          <w:rFonts w:cs="Arial"/>
          <w:sz w:val="20"/>
          <w:szCs w:val="20"/>
        </w:rPr>
        <w:t xml:space="preserve"> </w:t>
      </w:r>
      <w:r w:rsidR="00D632E2">
        <w:rPr>
          <w:rFonts w:cs="Arial"/>
          <w:sz w:val="20"/>
          <w:szCs w:val="20"/>
        </w:rPr>
        <w:t xml:space="preserve">that they have </w:t>
      </w:r>
      <w:r w:rsidRPr="00A65DF1">
        <w:rPr>
          <w:rFonts w:cs="Arial"/>
          <w:sz w:val="20"/>
          <w:szCs w:val="20"/>
        </w:rPr>
        <w:t xml:space="preserve">a criminal history, further investigations are made and the criminal history is assessed according to the relevant Board’s </w:t>
      </w:r>
      <w:r w:rsidR="00F741AC" w:rsidRPr="00F741AC">
        <w:rPr>
          <w:rFonts w:cs="Arial"/>
          <w:i/>
          <w:sz w:val="20"/>
          <w:szCs w:val="20"/>
        </w:rPr>
        <w:t>Criminal history registration standard</w:t>
      </w:r>
      <w:r w:rsidRPr="00A65DF1">
        <w:rPr>
          <w:rFonts w:cs="Arial"/>
          <w:sz w:val="20"/>
          <w:szCs w:val="20"/>
        </w:rPr>
        <w:t xml:space="preserve">. </w:t>
      </w:r>
    </w:p>
    <w:p w:rsidR="00A65DF1" w:rsidRDefault="00A65DF1" w:rsidP="00A65DF1">
      <w:pPr>
        <w:spacing w:before="120" w:after="120"/>
        <w:rPr>
          <w:rFonts w:ascii="Arial" w:hAnsi="Arial" w:cs="Arial"/>
          <w:sz w:val="20"/>
          <w:szCs w:val="20"/>
        </w:rPr>
      </w:pPr>
      <w:r w:rsidRPr="00A65DF1">
        <w:rPr>
          <w:rFonts w:ascii="Arial" w:hAnsi="Arial" w:cs="Arial"/>
          <w:sz w:val="20"/>
          <w:szCs w:val="20"/>
        </w:rPr>
        <w:t xml:space="preserve">To balance the requirements for public protection with the need for responsive and timely application and assessment processes for health practitioners seeking registration in Australia, National Boards and AHPRA </w:t>
      </w:r>
      <w:r w:rsidR="009A68A8" w:rsidRPr="009A68A8">
        <w:rPr>
          <w:rFonts w:ascii="Arial" w:hAnsi="Arial" w:cs="Arial"/>
          <w:sz w:val="20"/>
          <w:szCs w:val="20"/>
        </w:rPr>
        <w:t xml:space="preserve">have been considering possible </w:t>
      </w:r>
      <w:r w:rsidR="005C2201">
        <w:rPr>
          <w:rFonts w:ascii="Arial" w:hAnsi="Arial" w:cs="Arial"/>
          <w:sz w:val="20"/>
          <w:szCs w:val="20"/>
        </w:rPr>
        <w:t>ways</w:t>
      </w:r>
      <w:r w:rsidR="009A68A8" w:rsidRPr="009A68A8">
        <w:rPr>
          <w:rFonts w:ascii="Arial" w:hAnsi="Arial" w:cs="Arial"/>
          <w:sz w:val="20"/>
          <w:szCs w:val="20"/>
        </w:rPr>
        <w:t xml:space="preserve"> to refine the mechanisms for international criminal history checks</w:t>
      </w:r>
      <w:r w:rsidRPr="00A65DF1">
        <w:rPr>
          <w:rFonts w:ascii="Arial" w:hAnsi="Arial" w:cs="Arial"/>
          <w:sz w:val="20"/>
          <w:szCs w:val="20"/>
        </w:rPr>
        <w:t xml:space="preserve">. </w:t>
      </w:r>
    </w:p>
    <w:p w:rsidR="00F31C8E" w:rsidRDefault="009D503D">
      <w:pPr>
        <w:pStyle w:val="AHPRASubhead"/>
        <w:spacing w:before="360"/>
      </w:pPr>
      <w:r w:rsidRPr="00C77D44">
        <w:t>2012 consultation</w:t>
      </w:r>
    </w:p>
    <w:p w:rsidR="009E2B05" w:rsidRPr="009E2B05" w:rsidRDefault="009A68A8" w:rsidP="009E2B05">
      <w:pPr>
        <w:spacing w:before="120" w:after="120"/>
        <w:rPr>
          <w:rFonts w:ascii="Arial" w:hAnsi="Arial" w:cs="Arial"/>
          <w:b/>
          <w:sz w:val="20"/>
          <w:szCs w:val="20"/>
        </w:rPr>
      </w:pPr>
      <w:r>
        <w:rPr>
          <w:rFonts w:ascii="Arial" w:hAnsi="Arial" w:cs="Arial"/>
          <w:sz w:val="20"/>
          <w:szCs w:val="20"/>
        </w:rPr>
        <w:t>In 2012, National Boards consulted on four possible options</w:t>
      </w:r>
      <w:r w:rsidR="009D503D">
        <w:rPr>
          <w:rFonts w:ascii="Arial" w:hAnsi="Arial" w:cs="Arial"/>
          <w:sz w:val="20"/>
          <w:szCs w:val="20"/>
        </w:rPr>
        <w:t xml:space="preserve"> for</w:t>
      </w:r>
      <w:r w:rsidR="00C77D44">
        <w:rPr>
          <w:rFonts w:ascii="Arial" w:hAnsi="Arial" w:cs="Arial"/>
          <w:sz w:val="20"/>
          <w:szCs w:val="20"/>
        </w:rPr>
        <w:t xml:space="preserve"> refining</w:t>
      </w:r>
      <w:r w:rsidR="009D503D">
        <w:rPr>
          <w:rFonts w:ascii="Arial" w:hAnsi="Arial" w:cs="Arial"/>
          <w:sz w:val="20"/>
          <w:szCs w:val="20"/>
        </w:rPr>
        <w:t xml:space="preserve"> international criminal history checks</w:t>
      </w:r>
      <w:r w:rsidR="00D632E2">
        <w:rPr>
          <w:rFonts w:ascii="Arial" w:hAnsi="Arial" w:cs="Arial"/>
          <w:sz w:val="20"/>
          <w:szCs w:val="20"/>
        </w:rPr>
        <w:t>.</w:t>
      </w:r>
    </w:p>
    <w:p w:rsidR="009E2B05" w:rsidRPr="009E2B05" w:rsidRDefault="009E2B05" w:rsidP="00D632E2">
      <w:pPr>
        <w:pStyle w:val="AHPRAsubheadinglevel20"/>
        <w:tabs>
          <w:tab w:val="left" w:pos="1134"/>
        </w:tabs>
      </w:pPr>
      <w:r w:rsidRPr="009E2B05">
        <w:t>Option 1:</w:t>
      </w:r>
      <w:r w:rsidR="00D632E2">
        <w:t xml:space="preserve"> </w:t>
      </w:r>
      <w:r w:rsidR="00D632E2">
        <w:tab/>
      </w:r>
      <w:r w:rsidR="00F741AC" w:rsidRPr="00F741AC">
        <w:rPr>
          <w:b w:val="0"/>
        </w:rPr>
        <w:t>Applicant declaration only</w:t>
      </w:r>
    </w:p>
    <w:p w:rsidR="009E2B05" w:rsidRDefault="009D503D" w:rsidP="00D632E2">
      <w:pPr>
        <w:pStyle w:val="AHPRAsubheadinglevel20"/>
        <w:tabs>
          <w:tab w:val="left" w:pos="1134"/>
        </w:tabs>
      </w:pPr>
      <w:r w:rsidRPr="009A68A8">
        <w:t xml:space="preserve">Option 2: </w:t>
      </w:r>
      <w:r w:rsidR="00D632E2">
        <w:tab/>
      </w:r>
      <w:r w:rsidR="00F741AC" w:rsidRPr="00F741AC">
        <w:rPr>
          <w:b w:val="0"/>
        </w:rPr>
        <w:t>Applicant provides criminal history clearance evidence with application</w:t>
      </w:r>
    </w:p>
    <w:p w:rsidR="00F31C8E" w:rsidRDefault="009E2B05">
      <w:pPr>
        <w:pStyle w:val="AHPRAsubheadinglevel20"/>
        <w:ind w:left="1134" w:hanging="1134"/>
      </w:pPr>
      <w:r w:rsidRPr="00DA3D7E">
        <w:t xml:space="preserve">Option 3: </w:t>
      </w:r>
      <w:r w:rsidR="00D632E2">
        <w:tab/>
      </w:r>
      <w:r w:rsidR="00F741AC" w:rsidRPr="00F741AC">
        <w:rPr>
          <w:b w:val="0"/>
        </w:rPr>
        <w:t>AHPRA obtains clearance/information from jurisdictions outside Australia when processing application</w:t>
      </w:r>
    </w:p>
    <w:p w:rsidR="009E2B05" w:rsidRDefault="009E2B05" w:rsidP="00D632E2">
      <w:pPr>
        <w:pStyle w:val="AHPRAsubheadinglevel20"/>
        <w:tabs>
          <w:tab w:val="left" w:pos="1134"/>
        </w:tabs>
      </w:pPr>
      <w:r w:rsidRPr="00D210EF">
        <w:t>Option 4:</w:t>
      </w:r>
      <w:r w:rsidRPr="00D210EF">
        <w:tab/>
      </w:r>
      <w:r w:rsidR="00F741AC" w:rsidRPr="00F741AC">
        <w:rPr>
          <w:b w:val="0"/>
        </w:rPr>
        <w:t>Applicant makes declaration and AHPRA undertakes random sample audit</w:t>
      </w:r>
      <w:r w:rsidRPr="00D210EF">
        <w:t xml:space="preserve"> </w:t>
      </w:r>
    </w:p>
    <w:p w:rsidR="00D632E2" w:rsidRDefault="009A68A8" w:rsidP="00350127">
      <w:pPr>
        <w:pStyle w:val="AHPRAbodytext"/>
        <w:rPr>
          <w:szCs w:val="20"/>
        </w:rPr>
      </w:pPr>
      <w:r>
        <w:rPr>
          <w:szCs w:val="20"/>
        </w:rPr>
        <w:t>More detail about these opt</w:t>
      </w:r>
      <w:r w:rsidR="009D503D">
        <w:rPr>
          <w:szCs w:val="20"/>
        </w:rPr>
        <w:t xml:space="preserve">ions is in </w:t>
      </w:r>
      <w:r w:rsidR="00D632E2">
        <w:rPr>
          <w:szCs w:val="20"/>
        </w:rPr>
        <w:t>A</w:t>
      </w:r>
      <w:r w:rsidR="009D503D">
        <w:rPr>
          <w:szCs w:val="20"/>
        </w:rPr>
        <w:t xml:space="preserve">ttachment </w:t>
      </w:r>
      <w:r w:rsidR="00D632E2">
        <w:rPr>
          <w:szCs w:val="20"/>
        </w:rPr>
        <w:t>O</w:t>
      </w:r>
      <w:r w:rsidR="009D503D">
        <w:rPr>
          <w:szCs w:val="20"/>
        </w:rPr>
        <w:t xml:space="preserve">ne. </w:t>
      </w:r>
    </w:p>
    <w:p w:rsidR="00D632E2" w:rsidRDefault="005C2201" w:rsidP="00350127">
      <w:pPr>
        <w:pStyle w:val="AHPRAbodytext"/>
        <w:rPr>
          <w:szCs w:val="20"/>
        </w:rPr>
      </w:pPr>
      <w:r>
        <w:rPr>
          <w:szCs w:val="20"/>
        </w:rPr>
        <w:t xml:space="preserve">National Boards received </w:t>
      </w:r>
      <w:r w:rsidR="009E2B05">
        <w:t xml:space="preserve">68 external submissions </w:t>
      </w:r>
      <w:r>
        <w:t>from public consultation</w:t>
      </w:r>
      <w:r w:rsidR="009E2B05">
        <w:t xml:space="preserve"> but the feedback about the preferred option was mixed.</w:t>
      </w:r>
      <w:r w:rsidR="00C77D44">
        <w:t xml:space="preserve"> </w:t>
      </w:r>
      <w:r w:rsidR="009E2B05">
        <w:rPr>
          <w:szCs w:val="20"/>
        </w:rPr>
        <w:t>Most</w:t>
      </w:r>
      <w:r w:rsidR="00C77D44">
        <w:rPr>
          <w:szCs w:val="20"/>
        </w:rPr>
        <w:t xml:space="preserve"> submissions preferred option</w:t>
      </w:r>
      <w:r w:rsidR="009E2B05">
        <w:rPr>
          <w:szCs w:val="20"/>
        </w:rPr>
        <w:t xml:space="preserve"> two or four but still had issues with those options.</w:t>
      </w:r>
      <w:r w:rsidR="00C77D44">
        <w:rPr>
          <w:szCs w:val="20"/>
        </w:rPr>
        <w:t xml:space="preserve"> </w:t>
      </w:r>
    </w:p>
    <w:p w:rsidR="00350127" w:rsidRDefault="009E2B05" w:rsidP="00350127">
      <w:pPr>
        <w:pStyle w:val="AHPRAbodytext"/>
      </w:pPr>
      <w:r>
        <w:t>Many responses acknowledged the need to balance a range of factors in determining an approach to international criminal history checking, including:</w:t>
      </w:r>
    </w:p>
    <w:p w:rsidR="00F31C8E" w:rsidRDefault="009E2B05">
      <w:pPr>
        <w:pStyle w:val="AHPRABulletlevel1"/>
        <w:spacing w:before="120"/>
      </w:pPr>
      <w:r>
        <w:t>protection of the public</w:t>
      </w:r>
    </w:p>
    <w:p w:rsidR="00F31C8E" w:rsidRDefault="009E2B05">
      <w:pPr>
        <w:pStyle w:val="AHPRABulletlevel1"/>
        <w:spacing w:before="120"/>
      </w:pPr>
      <w:proofErr w:type="spellStart"/>
      <w:r>
        <w:t>minimising</w:t>
      </w:r>
      <w:proofErr w:type="spellEnd"/>
      <w:r>
        <w:t xml:space="preserve"> the risk of fraud</w:t>
      </w:r>
    </w:p>
    <w:p w:rsidR="00F31C8E" w:rsidRDefault="009E2B05">
      <w:pPr>
        <w:pStyle w:val="AHPRABulletlevel1"/>
        <w:spacing w:before="120"/>
      </w:pPr>
      <w:r>
        <w:t xml:space="preserve">avoiding unnecessary delays to application processing times, and </w:t>
      </w:r>
    </w:p>
    <w:p w:rsidR="00F31C8E" w:rsidRDefault="009E2B05">
      <w:pPr>
        <w:pStyle w:val="AHPRABulletlevel1"/>
        <w:spacing w:before="120" w:after="200"/>
      </w:pPr>
      <w:proofErr w:type="gramStart"/>
      <w:r>
        <w:t>not</w:t>
      </w:r>
      <w:proofErr w:type="gramEnd"/>
      <w:r>
        <w:t xml:space="preserve"> imposing unreasonable burdens on overseas applicants</w:t>
      </w:r>
      <w:r w:rsidR="00D632E2">
        <w:t xml:space="preserve">, such as </w:t>
      </w:r>
      <w:r>
        <w:t>obtain</w:t>
      </w:r>
      <w:r w:rsidR="00D632E2">
        <w:t>ing</w:t>
      </w:r>
      <w:r>
        <w:t xml:space="preserve"> criminal history checks in person.</w:t>
      </w:r>
    </w:p>
    <w:p w:rsidR="009E2B05" w:rsidRDefault="009E2B05" w:rsidP="009E2B05">
      <w:pPr>
        <w:pStyle w:val="AHPRAbody"/>
        <w:tabs>
          <w:tab w:val="center" w:pos="4749"/>
        </w:tabs>
      </w:pPr>
      <w:r>
        <w:t xml:space="preserve">However, stakeholders balanced these factors differently as reflected in the </w:t>
      </w:r>
      <w:r w:rsidR="00C77D44">
        <w:t>different</w:t>
      </w:r>
      <w:r>
        <w:t xml:space="preserve"> preferences </w:t>
      </w:r>
      <w:r w:rsidR="00C77D44">
        <w:t>for</w:t>
      </w:r>
      <w:r>
        <w:t xml:space="preserve"> the four options in the consultation paper.</w:t>
      </w:r>
    </w:p>
    <w:p w:rsidR="00F31C8E" w:rsidRDefault="009E2B05">
      <w:pPr>
        <w:pStyle w:val="AHPRASubhead"/>
        <w:spacing w:before="360"/>
      </w:pPr>
      <w:r w:rsidRPr="008144C2">
        <w:t>2013 consultation</w:t>
      </w:r>
    </w:p>
    <w:p w:rsidR="00C77D44" w:rsidRDefault="009E2B05" w:rsidP="009E2B05">
      <w:pPr>
        <w:pStyle w:val="AHPRAbody"/>
        <w:tabs>
          <w:tab w:val="center" w:pos="4749"/>
        </w:tabs>
      </w:pPr>
      <w:r>
        <w:t xml:space="preserve">The need to reconcile competing views about the four options has been </w:t>
      </w:r>
      <w:r w:rsidR="009604F9">
        <w:t>overtaken</w:t>
      </w:r>
      <w:r>
        <w:t xml:space="preserve"> by a new option which </w:t>
      </w:r>
      <w:r w:rsidR="009604F9">
        <w:t>was identified after the consultation process</w:t>
      </w:r>
      <w:r w:rsidR="00D632E2">
        <w:t>.</w:t>
      </w:r>
    </w:p>
    <w:p w:rsidR="00F31C8E" w:rsidRDefault="00C77D44">
      <w:pPr>
        <w:pStyle w:val="AHPRAsubheadinglevel20"/>
        <w:tabs>
          <w:tab w:val="left" w:pos="1134"/>
        </w:tabs>
      </w:pPr>
      <w:r>
        <w:t>Option 5:</w:t>
      </w:r>
      <w:r>
        <w:tab/>
      </w:r>
      <w:r w:rsidR="00F741AC" w:rsidRPr="00F741AC">
        <w:rPr>
          <w:b w:val="0"/>
        </w:rPr>
        <w:t>External provider conducts international criminal history checks</w:t>
      </w:r>
    </w:p>
    <w:p w:rsidR="00D632E2" w:rsidRDefault="00D632E2" w:rsidP="00D632E2">
      <w:pPr>
        <w:spacing w:before="120" w:after="120"/>
        <w:rPr>
          <w:rFonts w:ascii="Arial" w:hAnsi="Arial" w:cs="Arial"/>
          <w:sz w:val="20"/>
          <w:szCs w:val="20"/>
        </w:rPr>
      </w:pPr>
      <w:r w:rsidRPr="00A65DF1">
        <w:rPr>
          <w:rFonts w:ascii="Arial" w:hAnsi="Arial" w:cs="Arial"/>
          <w:sz w:val="20"/>
          <w:szCs w:val="20"/>
        </w:rPr>
        <w:t xml:space="preserve">This paper explores the </w:t>
      </w:r>
      <w:r w:rsidRPr="009A68A8">
        <w:rPr>
          <w:rFonts w:ascii="Arial" w:hAnsi="Arial" w:cs="Arial"/>
          <w:sz w:val="20"/>
          <w:szCs w:val="20"/>
        </w:rPr>
        <w:t xml:space="preserve">issues associated with </w:t>
      </w:r>
      <w:r>
        <w:rPr>
          <w:rFonts w:ascii="Arial" w:hAnsi="Arial" w:cs="Arial"/>
          <w:sz w:val="20"/>
          <w:szCs w:val="20"/>
        </w:rPr>
        <w:t>the new option, Option 5,</w:t>
      </w:r>
      <w:r w:rsidRPr="009A68A8">
        <w:rPr>
          <w:rFonts w:ascii="Arial" w:hAnsi="Arial" w:cs="Arial"/>
          <w:sz w:val="20"/>
          <w:szCs w:val="20"/>
        </w:rPr>
        <w:t xml:space="preserve"> </w:t>
      </w:r>
      <w:r w:rsidRPr="00A65DF1">
        <w:rPr>
          <w:rFonts w:ascii="Arial" w:hAnsi="Arial" w:cs="Arial"/>
          <w:sz w:val="20"/>
          <w:szCs w:val="20"/>
        </w:rPr>
        <w:t>and seeks feedback.</w:t>
      </w:r>
    </w:p>
    <w:p w:rsidR="0091696B" w:rsidRDefault="00C77D44" w:rsidP="009E2B05">
      <w:pPr>
        <w:pStyle w:val="AHPRAbody"/>
        <w:tabs>
          <w:tab w:val="center" w:pos="4749"/>
        </w:tabs>
      </w:pPr>
      <w:r>
        <w:t>Option 5</w:t>
      </w:r>
      <w:r w:rsidR="009E2B05">
        <w:t xml:space="preserve"> has potential to achieve better outcomes than the </w:t>
      </w:r>
      <w:r>
        <w:t>other</w:t>
      </w:r>
      <w:r w:rsidR="009604F9">
        <w:t xml:space="preserve"> </w:t>
      </w:r>
      <w:r w:rsidR="009E2B05">
        <w:t>options.</w:t>
      </w:r>
      <w:r w:rsidR="005C2201">
        <w:t xml:space="preserve"> It would establish a similar process for checking international criminal histories to the current process for checking domestic criminal histories through CrimTra</w:t>
      </w:r>
      <w:r w:rsidR="00AF0340">
        <w:t>c</w:t>
      </w:r>
      <w:r w:rsidR="005C2201">
        <w:t>. It would strike a reasonable balance between risk, undertaking comprehensive checks where appropriate and not imposing unnecessary delays on applicants becoming registered.</w:t>
      </w:r>
      <w:r w:rsidR="00FB607F">
        <w:t xml:space="preserve"> </w:t>
      </w:r>
    </w:p>
    <w:p w:rsidR="009E2B05" w:rsidRDefault="00FB607F" w:rsidP="009E2B05">
      <w:pPr>
        <w:pStyle w:val="AHPRAbody"/>
        <w:tabs>
          <w:tab w:val="center" w:pos="4749"/>
        </w:tabs>
      </w:pPr>
      <w:r>
        <w:t>The applicant would be required to meet the cost of the international criminal history checks.</w:t>
      </w:r>
      <w:r w:rsidR="005C3C44">
        <w:t xml:space="preserve"> Existing </w:t>
      </w:r>
      <w:r w:rsidR="0091696B">
        <w:t xml:space="preserve">general </w:t>
      </w:r>
      <w:r w:rsidR="005C3C44">
        <w:t xml:space="preserve">requirements </w:t>
      </w:r>
      <w:r w:rsidR="0091696B">
        <w:t>would continue to apply (every</w:t>
      </w:r>
      <w:r w:rsidR="005C3C44">
        <w:t xml:space="preserve"> applicant to undergo a domestic criminal history check, make a declaration about their criminal history and arrange the provision of Certificates of Registration Status from every jurisdiction where they have been registered</w:t>
      </w:r>
      <w:r w:rsidR="0091696B">
        <w:t>).</w:t>
      </w:r>
    </w:p>
    <w:tbl>
      <w:tblPr>
        <w:tblW w:w="9713" w:type="dxa"/>
        <w:tblBorders>
          <w:top w:val="nil"/>
          <w:left w:val="nil"/>
          <w:bottom w:val="nil"/>
          <w:right w:val="nil"/>
        </w:tblBorders>
        <w:tblLayout w:type="fixed"/>
        <w:tblLook w:val="0000"/>
      </w:tblPr>
      <w:tblGrid>
        <w:gridCol w:w="6062"/>
        <w:gridCol w:w="3651"/>
      </w:tblGrid>
      <w:tr w:rsidR="005C2201" w:rsidRPr="009A68A8" w:rsidTr="00FB607F">
        <w:trPr>
          <w:cantSplit/>
          <w:trHeight w:val="199"/>
          <w:tblHeader/>
        </w:trPr>
        <w:tc>
          <w:tcPr>
            <w:tcW w:w="6062" w:type="dxa"/>
            <w:tcBorders>
              <w:top w:val="single" w:sz="4" w:space="0" w:color="auto"/>
              <w:left w:val="single" w:sz="4" w:space="0" w:color="auto"/>
              <w:bottom w:val="single" w:sz="4" w:space="0" w:color="auto"/>
              <w:right w:val="single" w:sz="4" w:space="0" w:color="auto"/>
            </w:tcBorders>
          </w:tcPr>
          <w:p w:rsidR="005C2201" w:rsidRPr="009A68A8" w:rsidRDefault="005C2201" w:rsidP="005C2201">
            <w:pPr>
              <w:pStyle w:val="Default"/>
              <w:spacing w:before="60" w:after="60"/>
              <w:rPr>
                <w:i/>
                <w:color w:val="008EC4"/>
                <w:sz w:val="20"/>
                <w:szCs w:val="20"/>
              </w:rPr>
            </w:pPr>
            <w:r>
              <w:rPr>
                <w:i/>
                <w:color w:val="008EC4"/>
                <w:sz w:val="20"/>
                <w:szCs w:val="20"/>
              </w:rPr>
              <w:t>Benefits of Option 5</w:t>
            </w:r>
          </w:p>
        </w:tc>
        <w:tc>
          <w:tcPr>
            <w:tcW w:w="3651" w:type="dxa"/>
            <w:tcBorders>
              <w:top w:val="single" w:sz="4" w:space="0" w:color="auto"/>
              <w:left w:val="single" w:sz="4" w:space="0" w:color="auto"/>
              <w:bottom w:val="single" w:sz="4" w:space="0" w:color="auto"/>
              <w:right w:val="single" w:sz="4" w:space="0" w:color="auto"/>
            </w:tcBorders>
          </w:tcPr>
          <w:p w:rsidR="005C2201" w:rsidRPr="009A68A8" w:rsidRDefault="005C2201" w:rsidP="005C2201">
            <w:pPr>
              <w:pStyle w:val="Default"/>
              <w:spacing w:before="60" w:after="60"/>
              <w:rPr>
                <w:i/>
                <w:color w:val="008EC4"/>
                <w:sz w:val="20"/>
                <w:szCs w:val="20"/>
              </w:rPr>
            </w:pPr>
            <w:r w:rsidRPr="009A68A8">
              <w:rPr>
                <w:i/>
                <w:color w:val="008EC4"/>
                <w:sz w:val="20"/>
                <w:szCs w:val="20"/>
              </w:rPr>
              <w:t>Risks</w:t>
            </w:r>
          </w:p>
        </w:tc>
      </w:tr>
      <w:tr w:rsidR="005C2201" w:rsidRPr="009A68A8" w:rsidTr="00FB607F">
        <w:trPr>
          <w:trHeight w:val="244"/>
        </w:trPr>
        <w:tc>
          <w:tcPr>
            <w:tcW w:w="6062" w:type="dxa"/>
            <w:tcBorders>
              <w:top w:val="single" w:sz="4" w:space="0" w:color="auto"/>
              <w:left w:val="single" w:sz="4" w:space="0" w:color="auto"/>
              <w:bottom w:val="single" w:sz="4" w:space="0" w:color="auto"/>
              <w:right w:val="single" w:sz="4" w:space="0" w:color="auto"/>
            </w:tcBorders>
          </w:tcPr>
          <w:p w:rsidR="00F31C8E" w:rsidRDefault="005C2201">
            <w:pPr>
              <w:pStyle w:val="Default"/>
              <w:numPr>
                <w:ilvl w:val="0"/>
                <w:numId w:val="105"/>
              </w:numPr>
              <w:spacing w:before="60" w:after="60"/>
              <w:ind w:left="426" w:hanging="284"/>
              <w:rPr>
                <w:sz w:val="20"/>
                <w:szCs w:val="20"/>
              </w:rPr>
            </w:pPr>
            <w:r w:rsidRPr="009A68A8">
              <w:rPr>
                <w:sz w:val="20"/>
                <w:szCs w:val="20"/>
              </w:rPr>
              <w:t xml:space="preserve">Applications </w:t>
            </w:r>
            <w:r>
              <w:rPr>
                <w:sz w:val="20"/>
                <w:szCs w:val="20"/>
              </w:rPr>
              <w:t xml:space="preserve">can be processed on the basis of a domestic criminal history check and </w:t>
            </w:r>
            <w:r w:rsidR="0026586D">
              <w:rPr>
                <w:sz w:val="20"/>
                <w:szCs w:val="20"/>
              </w:rPr>
              <w:t xml:space="preserve">the applicant’s </w:t>
            </w:r>
            <w:r>
              <w:rPr>
                <w:sz w:val="20"/>
                <w:szCs w:val="20"/>
              </w:rPr>
              <w:t>declaration</w:t>
            </w:r>
            <w:r w:rsidR="00AF0340">
              <w:rPr>
                <w:sz w:val="20"/>
                <w:szCs w:val="20"/>
              </w:rPr>
              <w:t xml:space="preserve"> about </w:t>
            </w:r>
            <w:r w:rsidR="0026586D">
              <w:rPr>
                <w:sz w:val="20"/>
                <w:szCs w:val="20"/>
              </w:rPr>
              <w:t xml:space="preserve">their </w:t>
            </w:r>
            <w:r w:rsidR="00AF0340">
              <w:rPr>
                <w:sz w:val="20"/>
                <w:szCs w:val="20"/>
              </w:rPr>
              <w:t>international criminal history</w:t>
            </w:r>
            <w:r w:rsidR="0026586D">
              <w:rPr>
                <w:sz w:val="20"/>
                <w:szCs w:val="20"/>
              </w:rPr>
              <w:t xml:space="preserve"> (provided no significant criminal history is disclosed)</w:t>
            </w:r>
            <w:r>
              <w:rPr>
                <w:sz w:val="20"/>
                <w:szCs w:val="20"/>
              </w:rPr>
              <w:t>, followed by a comprehensive international criminal history check post-registration</w:t>
            </w:r>
            <w:r w:rsidR="00D632E2">
              <w:rPr>
                <w:sz w:val="20"/>
                <w:szCs w:val="20"/>
              </w:rPr>
              <w:t>.</w:t>
            </w:r>
          </w:p>
          <w:p w:rsidR="00F31C8E" w:rsidRDefault="005C2201">
            <w:pPr>
              <w:pStyle w:val="Default"/>
              <w:numPr>
                <w:ilvl w:val="0"/>
                <w:numId w:val="105"/>
              </w:numPr>
              <w:spacing w:before="60" w:after="60"/>
              <w:ind w:left="426" w:hanging="284"/>
              <w:rPr>
                <w:sz w:val="20"/>
                <w:szCs w:val="20"/>
              </w:rPr>
            </w:pPr>
            <w:r>
              <w:rPr>
                <w:sz w:val="20"/>
                <w:szCs w:val="20"/>
              </w:rPr>
              <w:t>Will not unnecessarily delay registration</w:t>
            </w:r>
            <w:r w:rsidR="00D632E2">
              <w:rPr>
                <w:sz w:val="20"/>
                <w:szCs w:val="20"/>
              </w:rPr>
              <w:t>.</w:t>
            </w:r>
          </w:p>
          <w:p w:rsidR="00F31C8E" w:rsidRDefault="005C2201">
            <w:pPr>
              <w:pStyle w:val="Default"/>
              <w:numPr>
                <w:ilvl w:val="0"/>
                <w:numId w:val="105"/>
              </w:numPr>
              <w:spacing w:before="60" w:after="60"/>
              <w:ind w:left="426" w:hanging="284"/>
              <w:rPr>
                <w:sz w:val="20"/>
                <w:szCs w:val="20"/>
              </w:rPr>
            </w:pPr>
            <w:r>
              <w:rPr>
                <w:sz w:val="20"/>
                <w:szCs w:val="20"/>
              </w:rPr>
              <w:t>Will establish a consistent and comprehensive approach to checking international criminal history which is only reliant on declaration for a short time</w:t>
            </w:r>
            <w:r w:rsidR="00D632E2">
              <w:rPr>
                <w:sz w:val="20"/>
                <w:szCs w:val="20"/>
              </w:rPr>
              <w:t>.</w:t>
            </w:r>
          </w:p>
        </w:tc>
        <w:tc>
          <w:tcPr>
            <w:tcW w:w="3651" w:type="dxa"/>
            <w:tcBorders>
              <w:top w:val="single" w:sz="4" w:space="0" w:color="auto"/>
              <w:left w:val="single" w:sz="4" w:space="0" w:color="auto"/>
              <w:bottom w:val="single" w:sz="4" w:space="0" w:color="auto"/>
              <w:right w:val="single" w:sz="4" w:space="0" w:color="auto"/>
            </w:tcBorders>
          </w:tcPr>
          <w:p w:rsidR="00F31C8E" w:rsidRDefault="005C2201" w:rsidP="00AF0340">
            <w:pPr>
              <w:pStyle w:val="Default"/>
              <w:numPr>
                <w:ilvl w:val="0"/>
                <w:numId w:val="105"/>
              </w:numPr>
              <w:spacing w:before="60" w:after="60"/>
              <w:ind w:left="426" w:hanging="284"/>
              <w:rPr>
                <w:sz w:val="20"/>
                <w:szCs w:val="20"/>
              </w:rPr>
            </w:pPr>
            <w:r>
              <w:rPr>
                <w:sz w:val="20"/>
                <w:szCs w:val="20"/>
              </w:rPr>
              <w:t>A small risk</w:t>
            </w:r>
            <w:r w:rsidR="00AF0340">
              <w:rPr>
                <w:sz w:val="20"/>
                <w:szCs w:val="20"/>
              </w:rPr>
              <w:t xml:space="preserve"> that an applicant with an international criminal history is inappropriately registered </w:t>
            </w:r>
            <w:r w:rsidR="00F31367">
              <w:rPr>
                <w:sz w:val="20"/>
                <w:szCs w:val="20"/>
              </w:rPr>
              <w:t>because</w:t>
            </w:r>
            <w:r>
              <w:rPr>
                <w:sz w:val="20"/>
                <w:szCs w:val="20"/>
              </w:rPr>
              <w:t xml:space="preserve"> an applicant is registered for a short time </w:t>
            </w:r>
            <w:r w:rsidR="00AF0340">
              <w:rPr>
                <w:sz w:val="20"/>
                <w:szCs w:val="20"/>
              </w:rPr>
              <w:t>based on a</w:t>
            </w:r>
            <w:r w:rsidR="0026586D">
              <w:rPr>
                <w:sz w:val="20"/>
                <w:szCs w:val="20"/>
              </w:rPr>
              <w:t xml:space="preserve"> false</w:t>
            </w:r>
            <w:r w:rsidR="00AF0340">
              <w:rPr>
                <w:sz w:val="20"/>
                <w:szCs w:val="20"/>
              </w:rPr>
              <w:t xml:space="preserve"> </w:t>
            </w:r>
            <w:r>
              <w:rPr>
                <w:sz w:val="20"/>
                <w:szCs w:val="20"/>
              </w:rPr>
              <w:t xml:space="preserve">declaration </w:t>
            </w:r>
            <w:r w:rsidR="00AF0340">
              <w:rPr>
                <w:sz w:val="20"/>
                <w:szCs w:val="20"/>
              </w:rPr>
              <w:t>before their</w:t>
            </w:r>
            <w:r>
              <w:rPr>
                <w:sz w:val="20"/>
                <w:szCs w:val="20"/>
              </w:rPr>
              <w:t xml:space="preserve"> international criminal history check</w:t>
            </w:r>
            <w:r w:rsidR="00AF0340">
              <w:rPr>
                <w:sz w:val="20"/>
                <w:szCs w:val="20"/>
              </w:rPr>
              <w:t xml:space="preserve"> is completed</w:t>
            </w:r>
            <w:r w:rsidR="00D632E2">
              <w:rPr>
                <w:sz w:val="20"/>
                <w:szCs w:val="20"/>
              </w:rPr>
              <w:t>.</w:t>
            </w:r>
          </w:p>
        </w:tc>
      </w:tr>
      <w:tr w:rsidR="005C2201" w:rsidRPr="009A68A8" w:rsidTr="00FB607F">
        <w:trPr>
          <w:trHeight w:val="245"/>
        </w:trPr>
        <w:tc>
          <w:tcPr>
            <w:tcW w:w="6062" w:type="dxa"/>
            <w:tcBorders>
              <w:top w:val="single" w:sz="4" w:space="0" w:color="auto"/>
              <w:left w:val="single" w:sz="4" w:space="0" w:color="auto"/>
              <w:bottom w:val="single" w:sz="4" w:space="0" w:color="auto"/>
              <w:right w:val="single" w:sz="4" w:space="0" w:color="auto"/>
            </w:tcBorders>
          </w:tcPr>
          <w:p w:rsidR="00F31C8E" w:rsidRDefault="005C2201">
            <w:pPr>
              <w:pStyle w:val="Default"/>
              <w:numPr>
                <w:ilvl w:val="0"/>
                <w:numId w:val="105"/>
              </w:numPr>
              <w:spacing w:before="60" w:after="60"/>
              <w:ind w:left="426" w:hanging="284"/>
              <w:rPr>
                <w:sz w:val="20"/>
                <w:szCs w:val="20"/>
              </w:rPr>
            </w:pPr>
            <w:r>
              <w:rPr>
                <w:sz w:val="20"/>
                <w:szCs w:val="20"/>
              </w:rPr>
              <w:t>The applicant would meet the cost of the international checks s</w:t>
            </w:r>
            <w:r w:rsidRPr="009A68A8">
              <w:rPr>
                <w:sz w:val="20"/>
                <w:szCs w:val="20"/>
              </w:rPr>
              <w:t xml:space="preserve">o </w:t>
            </w:r>
            <w:r>
              <w:rPr>
                <w:sz w:val="20"/>
                <w:szCs w:val="20"/>
              </w:rPr>
              <w:t xml:space="preserve">there would be no </w:t>
            </w:r>
            <w:r w:rsidRPr="009A68A8">
              <w:rPr>
                <w:sz w:val="20"/>
                <w:szCs w:val="20"/>
              </w:rPr>
              <w:t xml:space="preserve">additional cost for the National Scheme </w:t>
            </w:r>
          </w:p>
        </w:tc>
        <w:tc>
          <w:tcPr>
            <w:tcW w:w="3651" w:type="dxa"/>
            <w:tcBorders>
              <w:top w:val="single" w:sz="4" w:space="0" w:color="auto"/>
              <w:left w:val="single" w:sz="4" w:space="0" w:color="auto"/>
              <w:bottom w:val="single" w:sz="4" w:space="0" w:color="auto"/>
              <w:right w:val="single" w:sz="4" w:space="0" w:color="auto"/>
            </w:tcBorders>
          </w:tcPr>
          <w:p w:rsidR="00F31C8E" w:rsidRDefault="005C2201">
            <w:pPr>
              <w:pStyle w:val="Default"/>
              <w:numPr>
                <w:ilvl w:val="0"/>
                <w:numId w:val="105"/>
              </w:numPr>
              <w:spacing w:before="60" w:after="60"/>
              <w:ind w:left="426" w:hanging="284"/>
              <w:rPr>
                <w:sz w:val="20"/>
                <w:szCs w:val="20"/>
              </w:rPr>
            </w:pPr>
            <w:r>
              <w:rPr>
                <w:sz w:val="20"/>
                <w:szCs w:val="20"/>
              </w:rPr>
              <w:t>The cost to the applicant will depend on the number of countries that need to be checked</w:t>
            </w:r>
            <w:r w:rsidR="00AF0340">
              <w:rPr>
                <w:sz w:val="20"/>
                <w:szCs w:val="20"/>
              </w:rPr>
              <w:t>, so there is a risk that some potential applicants could view the cost as a disincentive</w:t>
            </w:r>
            <w:r w:rsidR="00D632E2">
              <w:rPr>
                <w:sz w:val="20"/>
                <w:szCs w:val="20"/>
              </w:rPr>
              <w:t>.</w:t>
            </w:r>
            <w:r>
              <w:rPr>
                <w:sz w:val="20"/>
                <w:szCs w:val="20"/>
              </w:rPr>
              <w:t xml:space="preserve"> </w:t>
            </w:r>
            <w:r w:rsidRPr="009A68A8">
              <w:rPr>
                <w:sz w:val="20"/>
                <w:szCs w:val="20"/>
              </w:rPr>
              <w:t xml:space="preserve"> </w:t>
            </w:r>
          </w:p>
        </w:tc>
      </w:tr>
      <w:tr w:rsidR="005C2201" w:rsidRPr="009A68A8" w:rsidTr="00FB607F">
        <w:trPr>
          <w:trHeight w:val="245"/>
        </w:trPr>
        <w:tc>
          <w:tcPr>
            <w:tcW w:w="6062" w:type="dxa"/>
            <w:tcBorders>
              <w:top w:val="single" w:sz="4" w:space="0" w:color="auto"/>
              <w:left w:val="single" w:sz="4" w:space="0" w:color="auto"/>
              <w:bottom w:val="single" w:sz="4" w:space="0" w:color="auto"/>
              <w:right w:val="single" w:sz="4" w:space="0" w:color="auto"/>
            </w:tcBorders>
          </w:tcPr>
          <w:p w:rsidR="00F31C8E" w:rsidRDefault="00D41A0F">
            <w:pPr>
              <w:pStyle w:val="Default"/>
              <w:numPr>
                <w:ilvl w:val="0"/>
                <w:numId w:val="105"/>
              </w:numPr>
              <w:spacing w:before="60" w:after="60"/>
              <w:ind w:left="426" w:hanging="284"/>
              <w:rPr>
                <w:sz w:val="20"/>
                <w:szCs w:val="20"/>
              </w:rPr>
            </w:pPr>
            <w:r>
              <w:rPr>
                <w:sz w:val="20"/>
                <w:szCs w:val="20"/>
              </w:rPr>
              <w:t>Increased efficiency and reduced impact on applicants. A</w:t>
            </w:r>
            <w:r w:rsidR="005C2201">
              <w:rPr>
                <w:sz w:val="20"/>
                <w:szCs w:val="20"/>
              </w:rPr>
              <w:t>voids the need</w:t>
            </w:r>
            <w:r w:rsidR="005C2201" w:rsidRPr="009A68A8">
              <w:rPr>
                <w:sz w:val="20"/>
                <w:szCs w:val="20"/>
              </w:rPr>
              <w:t xml:space="preserve"> for applicants</w:t>
            </w:r>
            <w:r w:rsidR="005C2201">
              <w:rPr>
                <w:sz w:val="20"/>
                <w:szCs w:val="20"/>
              </w:rPr>
              <w:t xml:space="preserve"> to</w:t>
            </w:r>
            <w:r>
              <w:rPr>
                <w:sz w:val="20"/>
                <w:szCs w:val="20"/>
              </w:rPr>
              <w:t xml:space="preserve"> communicate</w:t>
            </w:r>
            <w:r w:rsidR="005C2201" w:rsidRPr="009A68A8">
              <w:rPr>
                <w:sz w:val="20"/>
                <w:szCs w:val="20"/>
              </w:rPr>
              <w:t xml:space="preserve"> with overseas jurisdictions to gain the required information</w:t>
            </w:r>
            <w:r>
              <w:rPr>
                <w:sz w:val="20"/>
                <w:szCs w:val="20"/>
              </w:rPr>
              <w:t xml:space="preserve"> and provides a streamlined process through an external agency which regularly obtains checks and has relationships with the relevant organisations in each country</w:t>
            </w:r>
          </w:p>
        </w:tc>
        <w:tc>
          <w:tcPr>
            <w:tcW w:w="3651" w:type="dxa"/>
            <w:tcBorders>
              <w:top w:val="single" w:sz="4" w:space="0" w:color="auto"/>
              <w:left w:val="single" w:sz="4" w:space="0" w:color="auto"/>
              <w:bottom w:val="single" w:sz="4" w:space="0" w:color="auto"/>
              <w:right w:val="single" w:sz="4" w:space="0" w:color="auto"/>
            </w:tcBorders>
          </w:tcPr>
          <w:p w:rsidR="00F31C8E" w:rsidRDefault="00D41A0F">
            <w:pPr>
              <w:pStyle w:val="Default"/>
              <w:numPr>
                <w:ilvl w:val="0"/>
                <w:numId w:val="105"/>
              </w:numPr>
              <w:spacing w:before="60" w:after="60"/>
              <w:ind w:left="426" w:hanging="284"/>
              <w:rPr>
                <w:sz w:val="20"/>
                <w:szCs w:val="20"/>
              </w:rPr>
            </w:pPr>
            <w:r>
              <w:rPr>
                <w:sz w:val="20"/>
                <w:szCs w:val="20"/>
              </w:rPr>
              <w:t>None identified</w:t>
            </w:r>
            <w:r w:rsidR="00D632E2">
              <w:rPr>
                <w:sz w:val="20"/>
                <w:szCs w:val="20"/>
              </w:rPr>
              <w:t>.</w:t>
            </w:r>
          </w:p>
        </w:tc>
      </w:tr>
    </w:tbl>
    <w:p w:rsidR="00F31C8E" w:rsidRDefault="00C77D44">
      <w:pPr>
        <w:pStyle w:val="AHPRASubhead"/>
        <w:spacing w:before="360"/>
      </w:pPr>
      <w:r>
        <w:t>I</w:t>
      </w:r>
      <w:r w:rsidRPr="00C77D44">
        <w:t>nternational criminal history checks</w:t>
      </w:r>
      <w:r w:rsidRPr="00AE049F">
        <w:t xml:space="preserve"> </w:t>
      </w:r>
      <w:r>
        <w:t>by external provider</w:t>
      </w:r>
    </w:p>
    <w:p w:rsidR="00B92C9B" w:rsidRDefault="00B37AD5" w:rsidP="00C77D44">
      <w:pPr>
        <w:pStyle w:val="AHPRAbody"/>
        <w:tabs>
          <w:tab w:val="center" w:pos="4749"/>
        </w:tabs>
        <w:rPr>
          <w:szCs w:val="20"/>
        </w:rPr>
      </w:pPr>
      <w:r>
        <w:rPr>
          <w:szCs w:val="20"/>
        </w:rPr>
        <w:t>I</w:t>
      </w:r>
      <w:r w:rsidR="00C77D44">
        <w:rPr>
          <w:szCs w:val="20"/>
        </w:rPr>
        <w:t xml:space="preserve">nternational criminal history checks </w:t>
      </w:r>
      <w:r>
        <w:rPr>
          <w:szCs w:val="20"/>
        </w:rPr>
        <w:t>could be done by</w:t>
      </w:r>
      <w:r w:rsidR="00C77D44">
        <w:rPr>
          <w:szCs w:val="20"/>
        </w:rPr>
        <w:t xml:space="preserve"> an external service provider </w:t>
      </w:r>
      <w:r>
        <w:rPr>
          <w:szCs w:val="20"/>
        </w:rPr>
        <w:t>with demonstrated expertise in</w:t>
      </w:r>
      <w:r w:rsidR="00C77D44">
        <w:rPr>
          <w:szCs w:val="20"/>
        </w:rPr>
        <w:t xml:space="preserve"> employment screening</w:t>
      </w:r>
      <w:r w:rsidR="00B92C9B">
        <w:rPr>
          <w:szCs w:val="20"/>
        </w:rPr>
        <w:t>,</w:t>
      </w:r>
      <w:r w:rsidR="00C77D44">
        <w:rPr>
          <w:szCs w:val="20"/>
        </w:rPr>
        <w:t xml:space="preserve"> including </w:t>
      </w:r>
      <w:r>
        <w:rPr>
          <w:szCs w:val="20"/>
        </w:rPr>
        <w:t>international</w:t>
      </w:r>
      <w:r w:rsidR="00C77D44">
        <w:rPr>
          <w:szCs w:val="20"/>
        </w:rPr>
        <w:t xml:space="preserve"> checks. </w:t>
      </w:r>
    </w:p>
    <w:p w:rsidR="00C77D44" w:rsidRDefault="00C77D44" w:rsidP="00C77D44">
      <w:pPr>
        <w:pStyle w:val="AHPRAbody"/>
        <w:tabs>
          <w:tab w:val="center" w:pos="4749"/>
        </w:tabs>
        <w:rPr>
          <w:szCs w:val="20"/>
        </w:rPr>
      </w:pPr>
      <w:r>
        <w:rPr>
          <w:szCs w:val="20"/>
        </w:rPr>
        <w:t>This option would involve</w:t>
      </w:r>
      <w:r w:rsidR="00B92C9B">
        <w:rPr>
          <w:szCs w:val="20"/>
        </w:rPr>
        <w:t xml:space="preserve"> the following aspects.</w:t>
      </w:r>
    </w:p>
    <w:p w:rsidR="00F31C8E" w:rsidRDefault="00C77D44">
      <w:pPr>
        <w:pStyle w:val="AHPRABulletlevel1"/>
        <w:spacing w:before="120"/>
      </w:pPr>
      <w:r>
        <w:t>AHPRA would tender to identify a provider with expertise in international criminal history check</w:t>
      </w:r>
      <w:r w:rsidR="00AF0340">
        <w:t>ing</w:t>
      </w:r>
      <w:r w:rsidR="00B92C9B">
        <w:t>.</w:t>
      </w:r>
    </w:p>
    <w:p w:rsidR="00F31C8E" w:rsidRDefault="00907D18">
      <w:pPr>
        <w:pStyle w:val="AHPRABulletlevel1"/>
        <w:spacing w:before="120"/>
      </w:pPr>
      <w:r>
        <w:t>All applicants would continue to have an Australian criminal history check before registration</w:t>
      </w:r>
      <w:r w:rsidR="00B92C9B">
        <w:t>.</w:t>
      </w:r>
    </w:p>
    <w:p w:rsidR="00F31C8E" w:rsidRDefault="00907D18">
      <w:pPr>
        <w:pStyle w:val="AHPRABulletlevel1"/>
        <w:spacing w:before="120"/>
      </w:pPr>
      <w:r>
        <w:t xml:space="preserve">An international criminal history check would also be done for any applicant who declares that they have lived in a country other than Australia for </w:t>
      </w:r>
      <w:r w:rsidR="001A1F2B">
        <w:t>a specified period of time (see discussion below) when 18 years of age or older</w:t>
      </w:r>
      <w:r w:rsidR="00B92C9B">
        <w:t>.</w:t>
      </w:r>
    </w:p>
    <w:p w:rsidR="00F31C8E" w:rsidRDefault="00B92C9B">
      <w:pPr>
        <w:pStyle w:val="AHPRABulletlevel1"/>
        <w:spacing w:before="120"/>
      </w:pPr>
      <w:r>
        <w:t>A</w:t>
      </w:r>
      <w:r w:rsidR="00B37AD5">
        <w:t xml:space="preserve"> check would be done on each country where the applicant has lived </w:t>
      </w:r>
      <w:r w:rsidR="001A1F2B">
        <w:t xml:space="preserve">a specified period of time </w:t>
      </w:r>
      <w:r>
        <w:t>(</w:t>
      </w:r>
      <w:r w:rsidR="001A1F2B">
        <w:t>see discussion below) when 18 years of age or older</w:t>
      </w:r>
      <w:r>
        <w:t>.</w:t>
      </w:r>
      <w:r w:rsidR="001A1F2B" w:rsidDel="001A1F2B">
        <w:t xml:space="preserve"> </w:t>
      </w:r>
    </w:p>
    <w:p w:rsidR="00F31C8E" w:rsidRDefault="00B92C9B">
      <w:pPr>
        <w:pStyle w:val="AHPRABulletlevel1"/>
        <w:spacing w:before="120"/>
      </w:pPr>
      <w:r>
        <w:t>T</w:t>
      </w:r>
      <w:r w:rsidR="00B37AD5" w:rsidRPr="001A1F2B">
        <w:t>he check would apply to the applicant’s entire criminal history (there will be no time limit on the check)</w:t>
      </w:r>
      <w:r>
        <w:t>.</w:t>
      </w:r>
    </w:p>
    <w:p w:rsidR="00F31C8E" w:rsidRDefault="00B92C9B">
      <w:pPr>
        <w:pStyle w:val="AHPRABulletlevel1"/>
        <w:spacing w:before="120"/>
      </w:pPr>
      <w:r>
        <w:t>Th</w:t>
      </w:r>
      <w:r w:rsidR="008E3431">
        <w:t>e check would be done after the applicant is registered. The period between granting registration and the completion of the check would be covered by the applicant m</w:t>
      </w:r>
      <w:r w:rsidR="00907D18">
        <w:t>aking a</w:t>
      </w:r>
      <w:r w:rsidR="00907D18" w:rsidRPr="00C77D44">
        <w:t xml:space="preserve"> declaration</w:t>
      </w:r>
      <w:r w:rsidR="00907D18">
        <w:t xml:space="preserve"> about their international criminal history</w:t>
      </w:r>
      <w:r>
        <w:t>.</w:t>
      </w:r>
    </w:p>
    <w:p w:rsidR="00F31C8E" w:rsidRDefault="00B92C9B">
      <w:pPr>
        <w:pStyle w:val="AHPRABulletlevel1last"/>
        <w:spacing w:before="120"/>
      </w:pPr>
      <w:r>
        <w:t>T</w:t>
      </w:r>
      <w:r w:rsidR="00907D18" w:rsidRPr="001110BE">
        <w:t>he applicant would pay the cost of the</w:t>
      </w:r>
      <w:r w:rsidR="00907D18">
        <w:t xml:space="preserve"> international criminal history</w:t>
      </w:r>
      <w:r w:rsidR="00907D18" w:rsidRPr="001110BE">
        <w:t xml:space="preserve"> checks required plus an administration fee</w:t>
      </w:r>
      <w:r>
        <w:t>.</w:t>
      </w:r>
    </w:p>
    <w:p w:rsidR="00C77D44" w:rsidRDefault="00907D18" w:rsidP="00C77D44">
      <w:pPr>
        <w:pStyle w:val="AHPRAbody"/>
        <w:tabs>
          <w:tab w:val="center" w:pos="4749"/>
        </w:tabs>
        <w:rPr>
          <w:szCs w:val="20"/>
        </w:rPr>
      </w:pPr>
      <w:r>
        <w:rPr>
          <w:szCs w:val="20"/>
        </w:rPr>
        <w:t xml:space="preserve">More detail about these aspects </w:t>
      </w:r>
      <w:r w:rsidR="00B92C9B">
        <w:rPr>
          <w:szCs w:val="20"/>
        </w:rPr>
        <w:t xml:space="preserve">is listed </w:t>
      </w:r>
      <w:r>
        <w:rPr>
          <w:szCs w:val="20"/>
        </w:rPr>
        <w:t>below.</w:t>
      </w:r>
    </w:p>
    <w:p w:rsidR="00F31C8E" w:rsidRDefault="00AE049F">
      <w:pPr>
        <w:pStyle w:val="AHPRASubhead"/>
        <w:spacing w:before="360"/>
      </w:pPr>
      <w:r w:rsidRPr="00AE049F">
        <w:t xml:space="preserve">Scope of </w:t>
      </w:r>
      <w:r w:rsidR="00B92C9B">
        <w:t>i</w:t>
      </w:r>
      <w:r w:rsidRPr="00AE049F">
        <w:t xml:space="preserve">nternational </w:t>
      </w:r>
      <w:r w:rsidR="00B92C9B">
        <w:t>c</w:t>
      </w:r>
      <w:r w:rsidRPr="00AE049F">
        <w:t xml:space="preserve">riminal </w:t>
      </w:r>
      <w:r w:rsidR="00B92C9B">
        <w:t>h</w:t>
      </w:r>
      <w:r w:rsidRPr="00AE049F">
        <w:t xml:space="preserve">istory </w:t>
      </w:r>
      <w:r w:rsidR="00B92C9B">
        <w:t>c</w:t>
      </w:r>
      <w:r w:rsidRPr="00AE049F">
        <w:t>hecking</w:t>
      </w:r>
    </w:p>
    <w:p w:rsidR="003F510E" w:rsidRPr="00B92C9B" w:rsidRDefault="00F741AC" w:rsidP="003F510E">
      <w:pPr>
        <w:pStyle w:val="ListParagraph"/>
        <w:numPr>
          <w:ilvl w:val="0"/>
          <w:numId w:val="96"/>
        </w:numPr>
        <w:spacing w:after="0"/>
        <w:rPr>
          <w:rFonts w:cs="Arial"/>
          <w:b/>
          <w:sz w:val="20"/>
          <w:szCs w:val="20"/>
        </w:rPr>
      </w:pPr>
      <w:r w:rsidRPr="00F741AC">
        <w:rPr>
          <w:rFonts w:cs="Arial"/>
          <w:b/>
          <w:sz w:val="20"/>
          <w:szCs w:val="20"/>
        </w:rPr>
        <w:t>Who should have an</w:t>
      </w:r>
      <w:r w:rsidR="005C3C44">
        <w:rPr>
          <w:rFonts w:cs="Arial"/>
          <w:b/>
          <w:sz w:val="20"/>
          <w:szCs w:val="20"/>
        </w:rPr>
        <w:t xml:space="preserve"> external</w:t>
      </w:r>
      <w:r w:rsidRPr="00F741AC">
        <w:rPr>
          <w:rFonts w:cs="Arial"/>
          <w:b/>
          <w:sz w:val="20"/>
          <w:szCs w:val="20"/>
        </w:rPr>
        <w:t xml:space="preserve"> </w:t>
      </w:r>
      <w:r w:rsidR="00B92C9B">
        <w:rPr>
          <w:rFonts w:cs="Arial"/>
          <w:b/>
          <w:sz w:val="20"/>
          <w:szCs w:val="20"/>
        </w:rPr>
        <w:t>i</w:t>
      </w:r>
      <w:r w:rsidRPr="00F741AC">
        <w:rPr>
          <w:rFonts w:cs="Arial"/>
          <w:b/>
          <w:sz w:val="20"/>
          <w:szCs w:val="20"/>
        </w:rPr>
        <w:t xml:space="preserve">nternational </w:t>
      </w:r>
      <w:r w:rsidR="00B92C9B">
        <w:rPr>
          <w:rFonts w:cs="Arial"/>
          <w:b/>
          <w:sz w:val="20"/>
          <w:szCs w:val="20"/>
        </w:rPr>
        <w:t>c</w:t>
      </w:r>
      <w:r w:rsidRPr="00F741AC">
        <w:rPr>
          <w:rFonts w:cs="Arial"/>
          <w:b/>
          <w:sz w:val="20"/>
          <w:szCs w:val="20"/>
        </w:rPr>
        <w:t xml:space="preserve">riminal </w:t>
      </w:r>
      <w:r w:rsidR="00B92C9B">
        <w:rPr>
          <w:rFonts w:cs="Arial"/>
          <w:b/>
          <w:sz w:val="20"/>
          <w:szCs w:val="20"/>
        </w:rPr>
        <w:t>h</w:t>
      </w:r>
      <w:r w:rsidRPr="00F741AC">
        <w:rPr>
          <w:rFonts w:cs="Arial"/>
          <w:b/>
          <w:sz w:val="20"/>
          <w:szCs w:val="20"/>
        </w:rPr>
        <w:t xml:space="preserve">istory </w:t>
      </w:r>
      <w:r w:rsidR="00B92C9B">
        <w:rPr>
          <w:rFonts w:cs="Arial"/>
          <w:b/>
          <w:sz w:val="20"/>
          <w:szCs w:val="20"/>
        </w:rPr>
        <w:t>c</w:t>
      </w:r>
      <w:r w:rsidRPr="00F741AC">
        <w:rPr>
          <w:rFonts w:cs="Arial"/>
          <w:b/>
          <w:sz w:val="20"/>
          <w:szCs w:val="20"/>
        </w:rPr>
        <w:t>heck?</w:t>
      </w:r>
    </w:p>
    <w:p w:rsidR="003F510E" w:rsidRPr="003F510E" w:rsidRDefault="003F510E" w:rsidP="003F510E">
      <w:pPr>
        <w:spacing w:after="0"/>
        <w:rPr>
          <w:rFonts w:ascii="Arial" w:hAnsi="Arial" w:cs="Arial"/>
          <w:sz w:val="20"/>
          <w:szCs w:val="20"/>
        </w:rPr>
      </w:pPr>
    </w:p>
    <w:p w:rsidR="00350127" w:rsidRDefault="00350127" w:rsidP="00350127">
      <w:pPr>
        <w:spacing w:after="0"/>
        <w:rPr>
          <w:rFonts w:cs="Arial"/>
          <w:sz w:val="20"/>
          <w:szCs w:val="20"/>
        </w:rPr>
      </w:pPr>
      <w:r w:rsidRPr="00350127">
        <w:rPr>
          <w:rFonts w:ascii="Arial" w:hAnsi="Arial" w:cs="Arial"/>
          <w:sz w:val="20"/>
          <w:szCs w:val="20"/>
          <w:lang w:val="en-AU"/>
        </w:rPr>
        <w:t xml:space="preserve">The usual time that an applicant will need an international criminal history check is when </w:t>
      </w:r>
      <w:r w:rsidR="00AF2C90">
        <w:rPr>
          <w:rFonts w:ascii="Arial" w:hAnsi="Arial" w:cs="Arial"/>
          <w:sz w:val="20"/>
          <w:szCs w:val="20"/>
          <w:lang w:val="en-AU"/>
        </w:rPr>
        <w:t>they apply</w:t>
      </w:r>
      <w:r w:rsidRPr="00350127">
        <w:rPr>
          <w:rFonts w:ascii="Arial" w:hAnsi="Arial" w:cs="Arial"/>
          <w:sz w:val="20"/>
          <w:szCs w:val="20"/>
          <w:lang w:val="en-AU"/>
        </w:rPr>
        <w:t xml:space="preserve"> for registration and declare that they have lived in a country outside Australia for </w:t>
      </w:r>
      <w:r w:rsidR="001942CE">
        <w:rPr>
          <w:rFonts w:ascii="Arial" w:hAnsi="Arial" w:cs="Arial"/>
          <w:sz w:val="20"/>
          <w:szCs w:val="20"/>
          <w:lang w:val="en-AU"/>
        </w:rPr>
        <w:t>the specified period</w:t>
      </w:r>
      <w:r w:rsidRPr="00350127">
        <w:rPr>
          <w:rFonts w:ascii="Arial" w:hAnsi="Arial" w:cs="Arial"/>
          <w:sz w:val="20"/>
          <w:szCs w:val="20"/>
          <w:lang w:val="en-AU"/>
        </w:rPr>
        <w:t xml:space="preserve"> or more</w:t>
      </w:r>
      <w:r w:rsidR="00FB607F">
        <w:rPr>
          <w:rFonts w:ascii="Arial" w:hAnsi="Arial" w:cs="Arial"/>
          <w:sz w:val="20"/>
          <w:szCs w:val="20"/>
          <w:lang w:val="en-AU"/>
        </w:rPr>
        <w:t>, whether their qualification is from Australia or overseas</w:t>
      </w:r>
      <w:r w:rsidRPr="00350127">
        <w:rPr>
          <w:rFonts w:ascii="Arial" w:hAnsi="Arial" w:cs="Arial"/>
          <w:sz w:val="20"/>
          <w:szCs w:val="20"/>
          <w:lang w:val="en-AU"/>
        </w:rPr>
        <w:t>.</w:t>
      </w:r>
    </w:p>
    <w:p w:rsidR="00907D18" w:rsidRPr="003F510E" w:rsidRDefault="00907D18" w:rsidP="003F510E">
      <w:pPr>
        <w:spacing w:after="0"/>
        <w:rPr>
          <w:rFonts w:ascii="Arial" w:hAnsi="Arial" w:cs="Arial"/>
          <w:sz w:val="20"/>
          <w:szCs w:val="20"/>
        </w:rPr>
      </w:pPr>
    </w:p>
    <w:p w:rsidR="00907D18" w:rsidRDefault="00907D18" w:rsidP="003F510E">
      <w:pPr>
        <w:spacing w:after="0"/>
        <w:rPr>
          <w:rFonts w:ascii="Arial" w:hAnsi="Arial" w:cs="Arial"/>
          <w:sz w:val="20"/>
          <w:szCs w:val="20"/>
        </w:rPr>
      </w:pPr>
      <w:r>
        <w:rPr>
          <w:rFonts w:ascii="Arial" w:hAnsi="Arial" w:cs="Arial"/>
          <w:sz w:val="20"/>
          <w:szCs w:val="20"/>
        </w:rPr>
        <w:t>However, sometimes current registrants will also need an international</w:t>
      </w:r>
      <w:r w:rsidR="00B37AD5">
        <w:rPr>
          <w:rFonts w:ascii="Arial" w:hAnsi="Arial" w:cs="Arial"/>
          <w:sz w:val="20"/>
          <w:szCs w:val="20"/>
        </w:rPr>
        <w:t xml:space="preserve"> criminal history</w:t>
      </w:r>
      <w:r>
        <w:rPr>
          <w:rFonts w:ascii="Arial" w:hAnsi="Arial" w:cs="Arial"/>
          <w:sz w:val="20"/>
          <w:szCs w:val="20"/>
        </w:rPr>
        <w:t xml:space="preserve"> check. A currently registered practitioner will need an international criminal history check when they:</w:t>
      </w:r>
    </w:p>
    <w:p w:rsidR="00F31C8E" w:rsidRDefault="00B92C9B">
      <w:pPr>
        <w:pStyle w:val="AHPRABulletlevel1"/>
        <w:spacing w:before="120"/>
      </w:pPr>
      <w:r>
        <w:t>a</w:t>
      </w:r>
      <w:r w:rsidR="008144C2">
        <w:t xml:space="preserve">pply to renew their registration and </w:t>
      </w:r>
      <w:r w:rsidR="00B37AD5">
        <w:t>declare</w:t>
      </w:r>
      <w:r w:rsidR="008144C2">
        <w:t xml:space="preserve"> a change in their criminal history which occurred outside Australia (s. 109 of the National Law)</w:t>
      </w:r>
      <w:r>
        <w:t>, and/or</w:t>
      </w:r>
    </w:p>
    <w:p w:rsidR="00F31C8E" w:rsidRDefault="00B92C9B">
      <w:pPr>
        <w:pStyle w:val="AHPRABulletlevel1last"/>
        <w:spacing w:before="120"/>
      </w:pPr>
      <w:proofErr w:type="gramStart"/>
      <w:r>
        <w:t>a</w:t>
      </w:r>
      <w:r w:rsidR="008144C2">
        <w:t>dvise</w:t>
      </w:r>
      <w:proofErr w:type="gramEnd"/>
      <w:r w:rsidR="008144C2">
        <w:t xml:space="preserve"> the Board that they have been charged outside Australia</w:t>
      </w:r>
      <w:r w:rsidR="008144C2" w:rsidRPr="003F510E">
        <w:t xml:space="preserve"> with an offence </w:t>
      </w:r>
      <w:r w:rsidR="008144C2">
        <w:t>with a possible sentence of</w:t>
      </w:r>
      <w:r w:rsidR="008144C2" w:rsidRPr="003F510E">
        <w:t xml:space="preserve"> 12 months imprisonment or more, or</w:t>
      </w:r>
      <w:r w:rsidR="008144C2">
        <w:t xml:space="preserve"> </w:t>
      </w:r>
      <w:r w:rsidR="00B37AD5">
        <w:t>have been</w:t>
      </w:r>
      <w:r w:rsidR="008144C2">
        <w:t xml:space="preserve"> </w:t>
      </w:r>
      <w:r w:rsidR="00350127" w:rsidRPr="00350127">
        <w:t>convicted of</w:t>
      </w:r>
      <w:r w:rsidR="008144C2">
        <w:t>,</w:t>
      </w:r>
      <w:r w:rsidR="00350127" w:rsidRPr="00350127">
        <w:t xml:space="preserve"> or the subject of a finding of guilt for an offence, </w:t>
      </w:r>
      <w:r w:rsidR="008144C2">
        <w:t>outside Australia</w:t>
      </w:r>
      <w:r w:rsidR="00350127" w:rsidRPr="00350127">
        <w:t>,</w:t>
      </w:r>
      <w:r w:rsidR="008144C2">
        <w:t xml:space="preserve"> that is</w:t>
      </w:r>
      <w:r w:rsidR="00350127" w:rsidRPr="00350127">
        <w:t xml:space="preserve"> punishable by imprisonment</w:t>
      </w:r>
      <w:r w:rsidR="008144C2">
        <w:t xml:space="preserve"> (s. 130 of the National Law)</w:t>
      </w:r>
      <w:r>
        <w:t>.</w:t>
      </w:r>
    </w:p>
    <w:p w:rsidR="00F31C8E" w:rsidRDefault="00F741AC">
      <w:pPr>
        <w:pStyle w:val="ListParagraph"/>
        <w:keepNext/>
        <w:numPr>
          <w:ilvl w:val="0"/>
          <w:numId w:val="96"/>
        </w:numPr>
        <w:spacing w:after="0"/>
        <w:rPr>
          <w:rFonts w:cs="Arial"/>
          <w:b/>
          <w:sz w:val="20"/>
          <w:szCs w:val="20"/>
        </w:rPr>
      </w:pPr>
      <w:r w:rsidRPr="00F741AC">
        <w:rPr>
          <w:rFonts w:cs="Arial"/>
          <w:b/>
          <w:sz w:val="20"/>
          <w:szCs w:val="20"/>
        </w:rPr>
        <w:t xml:space="preserve">Which countries should </w:t>
      </w:r>
      <w:r w:rsidR="00B92C9B">
        <w:rPr>
          <w:rFonts w:cs="Arial"/>
          <w:b/>
          <w:sz w:val="20"/>
          <w:szCs w:val="20"/>
        </w:rPr>
        <w:t>i</w:t>
      </w:r>
      <w:r w:rsidRPr="00F741AC">
        <w:rPr>
          <w:rFonts w:cs="Arial"/>
          <w:b/>
          <w:sz w:val="20"/>
          <w:szCs w:val="20"/>
        </w:rPr>
        <w:t xml:space="preserve">nternational </w:t>
      </w:r>
      <w:r w:rsidR="00B92C9B">
        <w:rPr>
          <w:rFonts w:cs="Arial"/>
          <w:b/>
          <w:sz w:val="20"/>
          <w:szCs w:val="20"/>
        </w:rPr>
        <w:t>c</w:t>
      </w:r>
      <w:r w:rsidRPr="00F741AC">
        <w:rPr>
          <w:rFonts w:cs="Arial"/>
          <w:b/>
          <w:sz w:val="20"/>
          <w:szCs w:val="20"/>
        </w:rPr>
        <w:t>r</w:t>
      </w:r>
      <w:r w:rsidR="00B92C9B">
        <w:rPr>
          <w:rFonts w:cs="Arial"/>
          <w:b/>
          <w:sz w:val="20"/>
          <w:szCs w:val="20"/>
        </w:rPr>
        <w:t>i</w:t>
      </w:r>
      <w:r w:rsidRPr="00F741AC">
        <w:rPr>
          <w:rFonts w:cs="Arial"/>
          <w:b/>
          <w:sz w:val="20"/>
          <w:szCs w:val="20"/>
        </w:rPr>
        <w:t xml:space="preserve">minal </w:t>
      </w:r>
      <w:r w:rsidR="00B92C9B">
        <w:rPr>
          <w:rFonts w:cs="Arial"/>
          <w:b/>
          <w:sz w:val="20"/>
          <w:szCs w:val="20"/>
        </w:rPr>
        <w:t>h</w:t>
      </w:r>
      <w:r w:rsidRPr="00F741AC">
        <w:rPr>
          <w:rFonts w:cs="Arial"/>
          <w:b/>
          <w:sz w:val="20"/>
          <w:szCs w:val="20"/>
        </w:rPr>
        <w:t xml:space="preserve">istory </w:t>
      </w:r>
      <w:r w:rsidR="00B92C9B">
        <w:rPr>
          <w:rFonts w:cs="Arial"/>
          <w:b/>
          <w:sz w:val="20"/>
          <w:szCs w:val="20"/>
        </w:rPr>
        <w:t>c</w:t>
      </w:r>
      <w:r w:rsidRPr="00F741AC">
        <w:rPr>
          <w:rFonts w:cs="Arial"/>
          <w:b/>
          <w:sz w:val="20"/>
          <w:szCs w:val="20"/>
        </w:rPr>
        <w:t xml:space="preserve">hecks </w:t>
      </w:r>
      <w:proofErr w:type="gramStart"/>
      <w:r w:rsidRPr="00F741AC">
        <w:rPr>
          <w:rFonts w:cs="Arial"/>
          <w:b/>
          <w:sz w:val="20"/>
          <w:szCs w:val="20"/>
        </w:rPr>
        <w:t>be</w:t>
      </w:r>
      <w:proofErr w:type="gramEnd"/>
      <w:r w:rsidRPr="00F741AC">
        <w:rPr>
          <w:rFonts w:cs="Arial"/>
          <w:b/>
          <w:sz w:val="20"/>
          <w:szCs w:val="20"/>
        </w:rPr>
        <w:t xml:space="preserve"> obtained from?</w:t>
      </w:r>
    </w:p>
    <w:p w:rsidR="00F31C8E" w:rsidRDefault="00AF2C90">
      <w:pPr>
        <w:keepNext/>
        <w:spacing w:before="240"/>
        <w:rPr>
          <w:rFonts w:ascii="Arial" w:hAnsi="Arial" w:cs="Arial"/>
          <w:sz w:val="20"/>
          <w:szCs w:val="20"/>
        </w:rPr>
      </w:pPr>
      <w:r>
        <w:rPr>
          <w:rFonts w:ascii="Arial" w:hAnsi="Arial" w:cs="Arial"/>
          <w:sz w:val="20"/>
          <w:szCs w:val="20"/>
        </w:rPr>
        <w:t xml:space="preserve">When </w:t>
      </w:r>
      <w:r w:rsidR="008144C2">
        <w:rPr>
          <w:rFonts w:ascii="Arial" w:hAnsi="Arial" w:cs="Arial"/>
          <w:sz w:val="20"/>
          <w:szCs w:val="20"/>
        </w:rPr>
        <w:t xml:space="preserve">an applicant </w:t>
      </w:r>
      <w:r w:rsidR="00B37AD5">
        <w:rPr>
          <w:rFonts w:ascii="Arial" w:hAnsi="Arial" w:cs="Arial"/>
          <w:sz w:val="20"/>
          <w:szCs w:val="20"/>
        </w:rPr>
        <w:t xml:space="preserve">or registrant </w:t>
      </w:r>
      <w:r w:rsidR="008144C2">
        <w:rPr>
          <w:rFonts w:ascii="Arial" w:hAnsi="Arial" w:cs="Arial"/>
          <w:sz w:val="20"/>
          <w:szCs w:val="20"/>
        </w:rPr>
        <w:t>needs an international criminal history check, the</w:t>
      </w:r>
      <w:r w:rsidR="00350127" w:rsidRPr="00350127">
        <w:rPr>
          <w:rFonts w:ascii="Arial" w:hAnsi="Arial" w:cs="Arial"/>
          <w:sz w:val="20"/>
          <w:szCs w:val="20"/>
        </w:rPr>
        <w:t xml:space="preserve"> check </w:t>
      </w:r>
      <w:r w:rsidR="008144C2">
        <w:rPr>
          <w:rFonts w:ascii="Arial" w:hAnsi="Arial" w:cs="Arial"/>
          <w:sz w:val="20"/>
          <w:szCs w:val="20"/>
        </w:rPr>
        <w:t>will</w:t>
      </w:r>
      <w:r w:rsidR="00350127" w:rsidRPr="00350127">
        <w:rPr>
          <w:rFonts w:ascii="Arial" w:hAnsi="Arial" w:cs="Arial"/>
          <w:sz w:val="20"/>
          <w:szCs w:val="20"/>
        </w:rPr>
        <w:t xml:space="preserve"> be done on each country </w:t>
      </w:r>
      <w:r w:rsidR="00B37AD5">
        <w:rPr>
          <w:rFonts w:ascii="Arial" w:hAnsi="Arial" w:cs="Arial"/>
          <w:sz w:val="20"/>
          <w:szCs w:val="20"/>
        </w:rPr>
        <w:t xml:space="preserve">other than Australia </w:t>
      </w:r>
      <w:r w:rsidR="00350127" w:rsidRPr="00350127">
        <w:rPr>
          <w:rFonts w:ascii="Arial" w:hAnsi="Arial" w:cs="Arial"/>
          <w:sz w:val="20"/>
          <w:szCs w:val="20"/>
        </w:rPr>
        <w:t xml:space="preserve">where </w:t>
      </w:r>
      <w:r w:rsidR="008144C2">
        <w:rPr>
          <w:rFonts w:ascii="Arial" w:hAnsi="Arial" w:cs="Arial"/>
          <w:sz w:val="20"/>
          <w:szCs w:val="20"/>
        </w:rPr>
        <w:t>they have</w:t>
      </w:r>
      <w:r w:rsidR="00350127" w:rsidRPr="00350127">
        <w:rPr>
          <w:rFonts w:ascii="Arial" w:hAnsi="Arial" w:cs="Arial"/>
          <w:sz w:val="20"/>
          <w:szCs w:val="20"/>
        </w:rPr>
        <w:t xml:space="preserve"> lived for </w:t>
      </w:r>
      <w:r w:rsidR="001A1F2B">
        <w:rPr>
          <w:rFonts w:ascii="Arial" w:hAnsi="Arial" w:cs="Arial"/>
          <w:sz w:val="20"/>
          <w:szCs w:val="20"/>
        </w:rPr>
        <w:t xml:space="preserve">a specified period. </w:t>
      </w:r>
    </w:p>
    <w:p w:rsidR="00F31C8E" w:rsidRDefault="001A1F2B">
      <w:pPr>
        <w:spacing w:before="240" w:after="0"/>
        <w:rPr>
          <w:rFonts w:ascii="Arial" w:hAnsi="Arial" w:cs="Arial"/>
          <w:sz w:val="20"/>
          <w:szCs w:val="20"/>
        </w:rPr>
      </w:pPr>
      <w:r>
        <w:rPr>
          <w:rFonts w:ascii="Arial" w:hAnsi="Arial" w:cs="Arial"/>
          <w:sz w:val="20"/>
          <w:szCs w:val="20"/>
        </w:rPr>
        <w:t>Feedback is sought on whether the specified period should be</w:t>
      </w:r>
      <w:r w:rsidR="00AF2C90">
        <w:rPr>
          <w:rFonts w:ascii="Arial" w:hAnsi="Arial" w:cs="Arial"/>
          <w:sz w:val="20"/>
          <w:szCs w:val="20"/>
        </w:rPr>
        <w:t>:</w:t>
      </w:r>
      <w:r>
        <w:rPr>
          <w:rFonts w:ascii="Arial" w:hAnsi="Arial" w:cs="Arial"/>
          <w:sz w:val="20"/>
          <w:szCs w:val="20"/>
        </w:rPr>
        <w:t xml:space="preserve"> </w:t>
      </w:r>
    </w:p>
    <w:p w:rsidR="00F31C8E" w:rsidRDefault="00AF2C90">
      <w:pPr>
        <w:pStyle w:val="AHPRABulletlevel1"/>
        <w:spacing w:before="120"/>
      </w:pPr>
      <w:r w:rsidRPr="00AF2C90">
        <w:t>three</w:t>
      </w:r>
      <w:r w:rsidR="001A1F2B" w:rsidRPr="00AF2C90">
        <w:t xml:space="preserve"> </w:t>
      </w:r>
      <w:r w:rsidR="00350127" w:rsidRPr="00AF2C90">
        <w:t>months or more</w:t>
      </w:r>
      <w:r w:rsidRPr="00AF2C90">
        <w:t>, or</w:t>
      </w:r>
      <w:r w:rsidR="001A1F2B" w:rsidRPr="00AF2C90">
        <w:t xml:space="preserve"> </w:t>
      </w:r>
    </w:p>
    <w:p w:rsidR="00F31C8E" w:rsidRDefault="00AF2C90">
      <w:pPr>
        <w:pStyle w:val="AHPRABulletlevel1"/>
        <w:spacing w:before="120"/>
      </w:pPr>
      <w:proofErr w:type="gramStart"/>
      <w:r w:rsidRPr="00AF2C90">
        <w:t>six</w:t>
      </w:r>
      <w:proofErr w:type="gramEnd"/>
      <w:r w:rsidR="001A1F2B" w:rsidRPr="00AF2C90">
        <w:t xml:space="preserve"> months or more</w:t>
      </w:r>
      <w:r w:rsidR="008144C2" w:rsidRPr="00AF2C90">
        <w:t>.</w:t>
      </w:r>
      <w:r w:rsidR="008144C2" w:rsidRPr="00AF2C90" w:rsidDel="008144C2">
        <w:t xml:space="preserve"> </w:t>
      </w:r>
    </w:p>
    <w:p w:rsidR="00F31C8E" w:rsidRDefault="003F510E">
      <w:pPr>
        <w:spacing w:before="240" w:after="0"/>
        <w:rPr>
          <w:rFonts w:ascii="Arial" w:hAnsi="Arial" w:cs="Arial"/>
          <w:sz w:val="20"/>
          <w:szCs w:val="20"/>
        </w:rPr>
      </w:pPr>
      <w:r w:rsidRPr="003F510E">
        <w:rPr>
          <w:rFonts w:ascii="Arial" w:hAnsi="Arial" w:cs="Arial"/>
          <w:sz w:val="20"/>
          <w:szCs w:val="20"/>
        </w:rPr>
        <w:t xml:space="preserve">The </w:t>
      </w:r>
      <w:r w:rsidR="00B37AD5">
        <w:rPr>
          <w:rFonts w:ascii="Arial" w:hAnsi="Arial" w:cs="Arial"/>
          <w:sz w:val="20"/>
          <w:szCs w:val="20"/>
        </w:rPr>
        <w:t xml:space="preserve">check will not be done on countries where an applicant has lived for </w:t>
      </w:r>
      <w:r w:rsidRPr="003F510E">
        <w:rPr>
          <w:rFonts w:ascii="Arial" w:hAnsi="Arial" w:cs="Arial"/>
          <w:sz w:val="20"/>
          <w:szCs w:val="20"/>
        </w:rPr>
        <w:t xml:space="preserve">less than </w:t>
      </w:r>
      <w:r w:rsidR="001A1F2B">
        <w:rPr>
          <w:rFonts w:ascii="Arial" w:hAnsi="Arial" w:cs="Arial"/>
          <w:sz w:val="20"/>
          <w:szCs w:val="20"/>
        </w:rPr>
        <w:t>the specified period</w:t>
      </w:r>
      <w:r w:rsidRPr="003F510E">
        <w:rPr>
          <w:rFonts w:ascii="Arial" w:hAnsi="Arial" w:cs="Arial"/>
          <w:sz w:val="20"/>
          <w:szCs w:val="20"/>
        </w:rPr>
        <w:t xml:space="preserve"> </w:t>
      </w:r>
      <w:r w:rsidR="008144C2">
        <w:rPr>
          <w:rFonts w:ascii="Arial" w:hAnsi="Arial" w:cs="Arial"/>
          <w:sz w:val="20"/>
          <w:szCs w:val="20"/>
        </w:rPr>
        <w:t>because</w:t>
      </w:r>
      <w:r w:rsidRPr="003F510E">
        <w:rPr>
          <w:rFonts w:ascii="Arial" w:hAnsi="Arial" w:cs="Arial"/>
          <w:sz w:val="20"/>
          <w:szCs w:val="20"/>
        </w:rPr>
        <w:t xml:space="preserve"> it:</w:t>
      </w:r>
    </w:p>
    <w:p w:rsidR="00F31C8E" w:rsidRDefault="003F510E">
      <w:pPr>
        <w:pStyle w:val="AHPRABulletlevel1"/>
        <w:spacing w:before="120"/>
      </w:pPr>
      <w:r w:rsidRPr="003F510E">
        <w:t>exclude</w:t>
      </w:r>
      <w:r w:rsidR="002E581F">
        <w:t>s</w:t>
      </w:r>
      <w:r w:rsidRPr="003F510E">
        <w:t xml:space="preserve"> short stays</w:t>
      </w:r>
      <w:r w:rsidR="00AF2C90">
        <w:t>,</w:t>
      </w:r>
      <w:r w:rsidRPr="003F510E">
        <w:t xml:space="preserve"> such as</w:t>
      </w:r>
      <w:r w:rsidR="000C2524">
        <w:t xml:space="preserve"> briefer</w:t>
      </w:r>
      <w:r w:rsidRPr="003F510E">
        <w:t xml:space="preserve"> holidays</w:t>
      </w:r>
      <w:r w:rsidR="008144C2">
        <w:t xml:space="preserve">, </w:t>
      </w:r>
      <w:r w:rsidRPr="003F510E">
        <w:t xml:space="preserve">reducing the costs </w:t>
      </w:r>
      <w:r w:rsidR="008144C2">
        <w:t>of</w:t>
      </w:r>
      <w:r w:rsidRPr="003F510E">
        <w:t xml:space="preserve"> obtaining international criminal history </w:t>
      </w:r>
      <w:r w:rsidR="00B36C0F">
        <w:t>check</w:t>
      </w:r>
      <w:r w:rsidR="00B36C0F" w:rsidRPr="003F510E">
        <w:t>s</w:t>
      </w:r>
      <w:r w:rsidRPr="003F510E">
        <w:t>, and</w:t>
      </w:r>
    </w:p>
    <w:p w:rsidR="00F31C8E" w:rsidRDefault="003F510E">
      <w:pPr>
        <w:pStyle w:val="AHPRABulletlevel1last"/>
        <w:spacing w:before="120"/>
      </w:pPr>
      <w:proofErr w:type="gramStart"/>
      <w:r w:rsidRPr="003F510E">
        <w:t>does</w:t>
      </w:r>
      <w:proofErr w:type="gramEnd"/>
      <w:r w:rsidRPr="003F510E">
        <w:t xml:space="preserve"> not increase the risk of registering someone with a serious criminal history </w:t>
      </w:r>
      <w:r w:rsidR="008144C2">
        <w:t>because</w:t>
      </w:r>
      <w:r w:rsidRPr="003F510E">
        <w:t xml:space="preserve"> imprisonment terms for serious offences would be longer than </w:t>
      </w:r>
      <w:r w:rsidR="001A1F2B">
        <w:t>the specified period</w:t>
      </w:r>
      <w:r w:rsidRPr="003F510E">
        <w:t>.</w:t>
      </w:r>
    </w:p>
    <w:p w:rsidR="00F31C8E" w:rsidRDefault="00E75A7A">
      <w:pPr>
        <w:spacing w:before="360" w:after="120"/>
      </w:pPr>
      <w:r w:rsidRPr="00AF2C90">
        <w:rPr>
          <w:rFonts w:ascii="Arial" w:hAnsi="Arial"/>
          <w:b/>
          <w:color w:val="008EC4"/>
          <w:sz w:val="20"/>
        </w:rPr>
        <w:t xml:space="preserve">Time </w:t>
      </w:r>
      <w:r w:rsidR="00AF2C90">
        <w:rPr>
          <w:rFonts w:ascii="Arial" w:hAnsi="Arial"/>
          <w:b/>
          <w:color w:val="008EC4"/>
          <w:sz w:val="20"/>
        </w:rPr>
        <w:t>p</w:t>
      </w:r>
      <w:r w:rsidRPr="00AF2C90">
        <w:rPr>
          <w:rFonts w:ascii="Arial" w:hAnsi="Arial"/>
          <w:b/>
          <w:color w:val="008EC4"/>
          <w:sz w:val="20"/>
        </w:rPr>
        <w:t xml:space="preserve">eriod for </w:t>
      </w:r>
      <w:r w:rsidR="00AF2C90">
        <w:rPr>
          <w:rFonts w:ascii="Arial" w:hAnsi="Arial"/>
          <w:b/>
          <w:color w:val="008EC4"/>
          <w:sz w:val="20"/>
        </w:rPr>
        <w:t>c</w:t>
      </w:r>
      <w:r w:rsidRPr="00AF2C90">
        <w:rPr>
          <w:rFonts w:ascii="Arial" w:hAnsi="Arial"/>
          <w:b/>
          <w:color w:val="008EC4"/>
          <w:sz w:val="20"/>
        </w:rPr>
        <w:t xml:space="preserve">heck and </w:t>
      </w:r>
      <w:r w:rsidR="00AF2C90">
        <w:rPr>
          <w:rFonts w:ascii="Arial" w:hAnsi="Arial"/>
          <w:b/>
          <w:color w:val="008EC4"/>
          <w:sz w:val="20"/>
        </w:rPr>
        <w:t>s</w:t>
      </w:r>
      <w:r w:rsidRPr="00AF2C90">
        <w:rPr>
          <w:rFonts w:ascii="Arial" w:hAnsi="Arial"/>
          <w:b/>
          <w:color w:val="008EC4"/>
          <w:sz w:val="20"/>
        </w:rPr>
        <w:t xml:space="preserve">cope of </w:t>
      </w:r>
      <w:r w:rsidR="00AF2C90">
        <w:rPr>
          <w:rFonts w:ascii="Arial" w:hAnsi="Arial"/>
          <w:b/>
          <w:color w:val="008EC4"/>
          <w:sz w:val="20"/>
        </w:rPr>
        <w:t>d</w:t>
      </w:r>
      <w:r w:rsidRPr="00AF2C90">
        <w:rPr>
          <w:rFonts w:ascii="Arial" w:hAnsi="Arial"/>
          <w:b/>
          <w:color w:val="008EC4"/>
          <w:sz w:val="20"/>
        </w:rPr>
        <w:t>eclaration</w:t>
      </w:r>
    </w:p>
    <w:p w:rsidR="003F510E" w:rsidRPr="003F510E" w:rsidRDefault="003F510E" w:rsidP="003F510E">
      <w:pPr>
        <w:rPr>
          <w:rFonts w:ascii="Arial" w:hAnsi="Arial" w:cs="Arial"/>
          <w:sz w:val="20"/>
          <w:szCs w:val="20"/>
        </w:rPr>
      </w:pPr>
      <w:r w:rsidRPr="003F510E">
        <w:rPr>
          <w:rFonts w:ascii="Arial" w:hAnsi="Arial" w:cs="Arial"/>
          <w:sz w:val="20"/>
          <w:szCs w:val="20"/>
        </w:rPr>
        <w:t>Boards</w:t>
      </w:r>
      <w:r w:rsidR="00B515F6">
        <w:rPr>
          <w:rFonts w:ascii="Arial" w:hAnsi="Arial" w:cs="Arial"/>
          <w:sz w:val="20"/>
          <w:szCs w:val="20"/>
        </w:rPr>
        <w:t xml:space="preserve"> will continue to</w:t>
      </w:r>
      <w:r w:rsidRPr="003F510E">
        <w:rPr>
          <w:rFonts w:ascii="Arial" w:hAnsi="Arial" w:cs="Arial"/>
          <w:sz w:val="20"/>
          <w:szCs w:val="20"/>
        </w:rPr>
        <w:t xml:space="preserve"> require applicants to declare their entire criminal history</w:t>
      </w:r>
      <w:r w:rsidR="00B515F6">
        <w:rPr>
          <w:rFonts w:ascii="Arial" w:hAnsi="Arial" w:cs="Arial"/>
          <w:sz w:val="20"/>
          <w:szCs w:val="20"/>
        </w:rPr>
        <w:t>, including</w:t>
      </w:r>
      <w:r w:rsidRPr="003F510E">
        <w:rPr>
          <w:rFonts w:ascii="Arial" w:hAnsi="Arial" w:cs="Arial"/>
          <w:sz w:val="20"/>
          <w:szCs w:val="20"/>
        </w:rPr>
        <w:t xml:space="preserve">: </w:t>
      </w:r>
    </w:p>
    <w:p w:rsidR="00F31C8E" w:rsidRDefault="003F510E">
      <w:pPr>
        <w:pStyle w:val="AHPRABulletlevel1"/>
        <w:spacing w:before="120"/>
      </w:pPr>
      <w:r w:rsidRPr="003F510E">
        <w:t>every conviction of a person for an offence</w:t>
      </w:r>
    </w:p>
    <w:p w:rsidR="00F31C8E" w:rsidRDefault="003F510E">
      <w:pPr>
        <w:pStyle w:val="AHPRABulletlevel1"/>
        <w:spacing w:before="120"/>
      </w:pPr>
      <w:r w:rsidRPr="003F510E">
        <w:t>every plea of guilty or finding of guilt by a court of the person for an offence, whether or not a conviction is recorded for the offence</w:t>
      </w:r>
      <w:r w:rsidR="002E5F55">
        <w:t>,</w:t>
      </w:r>
      <w:r w:rsidRPr="003F510E">
        <w:t xml:space="preserve"> and </w:t>
      </w:r>
    </w:p>
    <w:p w:rsidR="00F31C8E" w:rsidRDefault="003F510E">
      <w:pPr>
        <w:pStyle w:val="AHPRABulletlevel1"/>
        <w:spacing w:before="120"/>
      </w:pPr>
      <w:proofErr w:type="gramStart"/>
      <w:r w:rsidRPr="003F510E">
        <w:t>every</w:t>
      </w:r>
      <w:proofErr w:type="gramEnd"/>
      <w:r w:rsidRPr="003F510E">
        <w:t xml:space="preserve"> charge made against the person for an offence. </w:t>
      </w:r>
    </w:p>
    <w:p w:rsidR="003F510E" w:rsidRDefault="00350127" w:rsidP="003F510E">
      <w:pPr>
        <w:pStyle w:val="AHPRASubheadinglevel2"/>
        <w:rPr>
          <w:rFonts w:cs="Arial"/>
          <w:b w:val="0"/>
          <w:szCs w:val="20"/>
        </w:rPr>
      </w:pPr>
      <w:r w:rsidRPr="00350127">
        <w:rPr>
          <w:rFonts w:cs="Arial"/>
          <w:b w:val="0"/>
          <w:szCs w:val="20"/>
        </w:rPr>
        <w:t>However</w:t>
      </w:r>
      <w:r w:rsidR="00B515F6">
        <w:rPr>
          <w:rFonts w:cs="Arial"/>
          <w:szCs w:val="20"/>
        </w:rPr>
        <w:t>,</w:t>
      </w:r>
      <w:r w:rsidR="003F510E" w:rsidRPr="003F510E">
        <w:rPr>
          <w:rFonts w:cs="Arial"/>
          <w:b w:val="0"/>
          <w:szCs w:val="20"/>
        </w:rPr>
        <w:t xml:space="preserve"> Boards have no power under the National Law to override spent convictions and rehabilitation legislation in countries that have established </w:t>
      </w:r>
      <w:r w:rsidR="00B515F6">
        <w:rPr>
          <w:rFonts w:cs="Arial"/>
          <w:b w:val="0"/>
          <w:szCs w:val="20"/>
        </w:rPr>
        <w:t>this</w:t>
      </w:r>
      <w:r w:rsidR="00B515F6" w:rsidRPr="003F510E">
        <w:rPr>
          <w:rFonts w:cs="Arial"/>
          <w:b w:val="0"/>
          <w:szCs w:val="20"/>
        </w:rPr>
        <w:t xml:space="preserve"> </w:t>
      </w:r>
      <w:r w:rsidR="003F510E" w:rsidRPr="003F510E">
        <w:rPr>
          <w:rFonts w:cs="Arial"/>
          <w:b w:val="0"/>
          <w:szCs w:val="20"/>
        </w:rPr>
        <w:t xml:space="preserve">legislation. </w:t>
      </w:r>
      <w:r w:rsidR="00B515F6">
        <w:rPr>
          <w:rFonts w:cs="Arial"/>
          <w:b w:val="0"/>
          <w:szCs w:val="20"/>
        </w:rPr>
        <w:t xml:space="preserve">Information about these countries is in Attachment 2. </w:t>
      </w:r>
    </w:p>
    <w:p w:rsidR="00350127" w:rsidRDefault="00E414BF" w:rsidP="00350127">
      <w:pPr>
        <w:pStyle w:val="AHPRAbody"/>
        <w:tabs>
          <w:tab w:val="center" w:pos="4749"/>
        </w:tabs>
        <w:rPr>
          <w:szCs w:val="20"/>
        </w:rPr>
      </w:pPr>
      <w:r>
        <w:rPr>
          <w:szCs w:val="20"/>
        </w:rPr>
        <w:t>T</w:t>
      </w:r>
      <w:r w:rsidR="00350127" w:rsidRPr="00A1064E">
        <w:rPr>
          <w:szCs w:val="20"/>
        </w:rPr>
        <w:t>he</w:t>
      </w:r>
      <w:r w:rsidR="00350127" w:rsidRPr="00350127">
        <w:rPr>
          <w:b/>
          <w:szCs w:val="20"/>
        </w:rPr>
        <w:t xml:space="preserve"> </w:t>
      </w:r>
      <w:r w:rsidR="00350127" w:rsidRPr="00350127">
        <w:rPr>
          <w:szCs w:val="20"/>
        </w:rPr>
        <w:t xml:space="preserve">rules </w:t>
      </w:r>
      <w:r>
        <w:rPr>
          <w:szCs w:val="20"/>
        </w:rPr>
        <w:t>that apply</w:t>
      </w:r>
      <w:r w:rsidR="00350127" w:rsidRPr="00350127">
        <w:rPr>
          <w:szCs w:val="20"/>
        </w:rPr>
        <w:t xml:space="preserve"> to ‘spent’ convictions in different countries</w:t>
      </w:r>
      <w:r>
        <w:rPr>
          <w:szCs w:val="20"/>
        </w:rPr>
        <w:t xml:space="preserve"> vary significantly</w:t>
      </w:r>
      <w:r w:rsidR="00350127" w:rsidRPr="00350127">
        <w:rPr>
          <w:szCs w:val="20"/>
        </w:rPr>
        <w:t xml:space="preserve">. </w:t>
      </w:r>
      <w:r>
        <w:rPr>
          <w:szCs w:val="20"/>
        </w:rPr>
        <w:t>This means that</w:t>
      </w:r>
      <w:r w:rsidR="00350127" w:rsidRPr="00350127">
        <w:rPr>
          <w:szCs w:val="20"/>
        </w:rPr>
        <w:t xml:space="preserve"> setting any </w:t>
      </w:r>
      <w:proofErr w:type="spellStart"/>
      <w:r w:rsidR="00350127" w:rsidRPr="00350127">
        <w:rPr>
          <w:szCs w:val="20"/>
        </w:rPr>
        <w:t>cutoff</w:t>
      </w:r>
      <w:proofErr w:type="spellEnd"/>
      <w:r w:rsidR="00350127" w:rsidRPr="00350127">
        <w:rPr>
          <w:szCs w:val="20"/>
        </w:rPr>
        <w:t xml:space="preserve"> period (for example, </w:t>
      </w:r>
      <w:r>
        <w:rPr>
          <w:szCs w:val="20"/>
        </w:rPr>
        <w:t xml:space="preserve">only seeking an international criminal history check </w:t>
      </w:r>
      <w:r w:rsidR="00350127" w:rsidRPr="00350127">
        <w:rPr>
          <w:szCs w:val="20"/>
        </w:rPr>
        <w:t xml:space="preserve">for the 10 years </w:t>
      </w:r>
      <w:r>
        <w:rPr>
          <w:szCs w:val="20"/>
        </w:rPr>
        <w:t>before the</w:t>
      </w:r>
      <w:r w:rsidR="00350127" w:rsidRPr="00350127">
        <w:rPr>
          <w:szCs w:val="20"/>
        </w:rPr>
        <w:t xml:space="preserve"> application) would risk </w:t>
      </w:r>
      <w:r>
        <w:rPr>
          <w:szCs w:val="20"/>
        </w:rPr>
        <w:t>excluding</w:t>
      </w:r>
      <w:r w:rsidR="00350127" w:rsidRPr="00350127">
        <w:rPr>
          <w:szCs w:val="20"/>
        </w:rPr>
        <w:t xml:space="preserve"> a criminal conviction. </w:t>
      </w:r>
      <w:r w:rsidRPr="00E414BF">
        <w:rPr>
          <w:szCs w:val="20"/>
        </w:rPr>
        <w:t xml:space="preserve"> </w:t>
      </w:r>
      <w:r>
        <w:rPr>
          <w:szCs w:val="20"/>
        </w:rPr>
        <w:t>Therefore, there will be no time limits on international criminal history checks, and they will apply to the applicant’s entire criminal history.</w:t>
      </w:r>
      <w:r w:rsidRPr="00907D18">
        <w:rPr>
          <w:szCs w:val="20"/>
        </w:rPr>
        <w:t xml:space="preserve"> </w:t>
      </w:r>
    </w:p>
    <w:p w:rsidR="00DE76FE" w:rsidRPr="00DE76FE" w:rsidRDefault="00E414BF" w:rsidP="0084336D">
      <w:pPr>
        <w:pStyle w:val="AHPRASubheadinglevel2"/>
      </w:pPr>
      <w:r>
        <w:rPr>
          <w:rFonts w:cs="Arial"/>
          <w:b w:val="0"/>
          <w:szCs w:val="20"/>
        </w:rPr>
        <w:t>W</w:t>
      </w:r>
      <w:r w:rsidR="003F510E" w:rsidRPr="003F510E">
        <w:rPr>
          <w:rFonts w:cs="Arial"/>
          <w:b w:val="0"/>
          <w:szCs w:val="20"/>
        </w:rPr>
        <w:t xml:space="preserve">here </w:t>
      </w:r>
      <w:r>
        <w:rPr>
          <w:rFonts w:cs="Arial"/>
          <w:b w:val="0"/>
          <w:szCs w:val="20"/>
        </w:rPr>
        <w:t xml:space="preserve">an </w:t>
      </w:r>
      <w:r w:rsidR="003F510E" w:rsidRPr="003F510E">
        <w:rPr>
          <w:rFonts w:cs="Arial"/>
          <w:b w:val="0"/>
          <w:szCs w:val="20"/>
        </w:rPr>
        <w:t>applicant declare</w:t>
      </w:r>
      <w:r>
        <w:rPr>
          <w:rFonts w:cs="Arial"/>
          <w:b w:val="0"/>
          <w:szCs w:val="20"/>
        </w:rPr>
        <w:t>s a</w:t>
      </w:r>
      <w:r w:rsidR="003F510E" w:rsidRPr="003F510E">
        <w:rPr>
          <w:rFonts w:cs="Arial"/>
          <w:b w:val="0"/>
          <w:szCs w:val="20"/>
        </w:rPr>
        <w:t xml:space="preserve"> ‘spent’ </w:t>
      </w:r>
      <w:r>
        <w:rPr>
          <w:rFonts w:cs="Arial"/>
          <w:b w:val="0"/>
          <w:szCs w:val="20"/>
        </w:rPr>
        <w:t>conviction,</w:t>
      </w:r>
      <w:r w:rsidRPr="003F510E">
        <w:rPr>
          <w:rFonts w:cs="Arial"/>
          <w:b w:val="0"/>
          <w:szCs w:val="20"/>
        </w:rPr>
        <w:t xml:space="preserve"> </w:t>
      </w:r>
      <w:r w:rsidR="003F510E" w:rsidRPr="003F510E">
        <w:rPr>
          <w:rFonts w:cs="Arial"/>
          <w:b w:val="0"/>
          <w:szCs w:val="20"/>
        </w:rPr>
        <w:t xml:space="preserve">the international </w:t>
      </w:r>
      <w:r w:rsidR="00B36C0F">
        <w:rPr>
          <w:rFonts w:cs="Arial"/>
          <w:b w:val="0"/>
          <w:szCs w:val="20"/>
        </w:rPr>
        <w:t>check</w:t>
      </w:r>
      <w:r w:rsidR="00B36C0F" w:rsidRPr="003F510E">
        <w:rPr>
          <w:rFonts w:cs="Arial"/>
          <w:b w:val="0"/>
          <w:szCs w:val="20"/>
        </w:rPr>
        <w:t xml:space="preserve"> </w:t>
      </w:r>
      <w:r w:rsidR="003F510E" w:rsidRPr="003F510E">
        <w:rPr>
          <w:rFonts w:cs="Arial"/>
          <w:b w:val="0"/>
          <w:szCs w:val="20"/>
        </w:rPr>
        <w:t xml:space="preserve">will return a nil result and that </w:t>
      </w:r>
      <w:r>
        <w:rPr>
          <w:rFonts w:cs="Arial"/>
          <w:b w:val="0"/>
          <w:szCs w:val="20"/>
        </w:rPr>
        <w:t>person’s criminal history</w:t>
      </w:r>
      <w:r w:rsidRPr="003F510E">
        <w:rPr>
          <w:rFonts w:cs="Arial"/>
          <w:b w:val="0"/>
          <w:szCs w:val="20"/>
        </w:rPr>
        <w:t xml:space="preserve"> </w:t>
      </w:r>
      <w:r w:rsidR="003F510E" w:rsidRPr="003F510E">
        <w:rPr>
          <w:rFonts w:cs="Arial"/>
          <w:b w:val="0"/>
          <w:szCs w:val="20"/>
        </w:rPr>
        <w:t xml:space="preserve">will need to be </w:t>
      </w:r>
      <w:r>
        <w:rPr>
          <w:rFonts w:cs="Arial"/>
          <w:b w:val="0"/>
          <w:szCs w:val="20"/>
        </w:rPr>
        <w:t>assessed solely</w:t>
      </w:r>
      <w:r w:rsidRPr="003F510E">
        <w:rPr>
          <w:rFonts w:cs="Arial"/>
          <w:b w:val="0"/>
          <w:szCs w:val="20"/>
        </w:rPr>
        <w:t xml:space="preserve"> </w:t>
      </w:r>
      <w:r w:rsidR="003F510E" w:rsidRPr="003F510E">
        <w:rPr>
          <w:rFonts w:cs="Arial"/>
          <w:b w:val="0"/>
          <w:szCs w:val="20"/>
        </w:rPr>
        <w:t>on the basis of the</w:t>
      </w:r>
      <w:r>
        <w:rPr>
          <w:rFonts w:cs="Arial"/>
          <w:b w:val="0"/>
          <w:szCs w:val="20"/>
        </w:rPr>
        <w:t>ir</w:t>
      </w:r>
      <w:r w:rsidR="003F510E" w:rsidRPr="003F510E">
        <w:rPr>
          <w:rFonts w:cs="Arial"/>
          <w:b w:val="0"/>
          <w:szCs w:val="20"/>
        </w:rPr>
        <w:t xml:space="preserve"> declaration.</w:t>
      </w:r>
    </w:p>
    <w:p w:rsidR="00F31C8E" w:rsidRDefault="00E75A7A">
      <w:pPr>
        <w:pStyle w:val="AHPRASubhead"/>
        <w:spacing w:before="360"/>
      </w:pPr>
      <w:r>
        <w:t>Continued requirement</w:t>
      </w:r>
      <w:r w:rsidR="00885C1A">
        <w:t xml:space="preserve">s </w:t>
      </w:r>
      <w:proofErr w:type="gramStart"/>
      <w:r w:rsidR="00885C1A">
        <w:t xml:space="preserve">- </w:t>
      </w:r>
      <w:r>
        <w:t xml:space="preserve"> domestic</w:t>
      </w:r>
      <w:proofErr w:type="gramEnd"/>
      <w:r>
        <w:t xml:space="preserve"> criminal history check</w:t>
      </w:r>
      <w:r w:rsidR="00FB607F">
        <w:t xml:space="preserve">, </w:t>
      </w:r>
      <w:r w:rsidR="00885C1A">
        <w:t xml:space="preserve">declaration and </w:t>
      </w:r>
      <w:r w:rsidR="00FB607F">
        <w:t>Certificate of registration status</w:t>
      </w:r>
      <w:r w:rsidR="0026586D">
        <w:t xml:space="preserve"> </w:t>
      </w:r>
    </w:p>
    <w:p w:rsidR="00DE76FE" w:rsidRDefault="00E414BF" w:rsidP="003F510E">
      <w:pPr>
        <w:rPr>
          <w:rFonts w:ascii="Arial" w:hAnsi="Arial" w:cs="Arial"/>
          <w:sz w:val="20"/>
          <w:szCs w:val="20"/>
        </w:rPr>
      </w:pPr>
      <w:r>
        <w:rPr>
          <w:rFonts w:ascii="Arial" w:hAnsi="Arial" w:cs="Arial"/>
          <w:sz w:val="20"/>
          <w:szCs w:val="20"/>
        </w:rPr>
        <w:t>D</w:t>
      </w:r>
      <w:r w:rsidR="003F510E" w:rsidRPr="003F510E">
        <w:rPr>
          <w:rFonts w:ascii="Arial" w:hAnsi="Arial" w:cs="Arial"/>
          <w:sz w:val="20"/>
          <w:szCs w:val="20"/>
        </w:rPr>
        <w:t xml:space="preserve">omestic criminal history checks </w:t>
      </w:r>
      <w:r w:rsidR="0019298F">
        <w:rPr>
          <w:rFonts w:ascii="Arial" w:hAnsi="Arial" w:cs="Arial"/>
          <w:sz w:val="20"/>
          <w:szCs w:val="20"/>
        </w:rPr>
        <w:t xml:space="preserve">will </w:t>
      </w:r>
      <w:r w:rsidR="009014BE">
        <w:rPr>
          <w:rFonts w:ascii="Arial" w:hAnsi="Arial" w:cs="Arial"/>
          <w:sz w:val="20"/>
          <w:szCs w:val="20"/>
        </w:rPr>
        <w:t>still</w:t>
      </w:r>
      <w:r w:rsidR="0019298F">
        <w:rPr>
          <w:rFonts w:ascii="Arial" w:hAnsi="Arial" w:cs="Arial"/>
          <w:sz w:val="20"/>
          <w:szCs w:val="20"/>
        </w:rPr>
        <w:t xml:space="preserve"> be</w:t>
      </w:r>
      <w:r w:rsidR="0019298F" w:rsidRPr="003F510E">
        <w:rPr>
          <w:rFonts w:ascii="Arial" w:hAnsi="Arial" w:cs="Arial"/>
          <w:sz w:val="20"/>
          <w:szCs w:val="20"/>
        </w:rPr>
        <w:t xml:space="preserve"> </w:t>
      </w:r>
      <w:r w:rsidR="003F510E" w:rsidRPr="003F510E">
        <w:rPr>
          <w:rFonts w:ascii="Arial" w:hAnsi="Arial" w:cs="Arial"/>
          <w:sz w:val="20"/>
          <w:szCs w:val="20"/>
        </w:rPr>
        <w:t xml:space="preserve">conducted on </w:t>
      </w:r>
      <w:r>
        <w:rPr>
          <w:rFonts w:ascii="Arial" w:hAnsi="Arial" w:cs="Arial"/>
          <w:sz w:val="20"/>
          <w:szCs w:val="20"/>
        </w:rPr>
        <w:t>all</w:t>
      </w:r>
      <w:r w:rsidRPr="003F510E">
        <w:rPr>
          <w:rFonts w:ascii="Arial" w:hAnsi="Arial" w:cs="Arial"/>
          <w:sz w:val="20"/>
          <w:szCs w:val="20"/>
        </w:rPr>
        <w:t xml:space="preserve"> </w:t>
      </w:r>
      <w:r w:rsidR="003F510E" w:rsidRPr="003F510E">
        <w:rPr>
          <w:rFonts w:ascii="Arial" w:hAnsi="Arial" w:cs="Arial"/>
          <w:sz w:val="20"/>
          <w:szCs w:val="20"/>
        </w:rPr>
        <w:t>applicants</w:t>
      </w:r>
      <w:r w:rsidR="0019298F">
        <w:rPr>
          <w:rFonts w:ascii="Arial" w:hAnsi="Arial" w:cs="Arial"/>
          <w:sz w:val="20"/>
          <w:szCs w:val="20"/>
        </w:rPr>
        <w:t xml:space="preserve"> before they are registered</w:t>
      </w:r>
      <w:r w:rsidR="00CE3708">
        <w:rPr>
          <w:rFonts w:ascii="Arial" w:hAnsi="Arial" w:cs="Arial"/>
          <w:sz w:val="20"/>
          <w:szCs w:val="20"/>
        </w:rPr>
        <w:t>,</w:t>
      </w:r>
      <w:r w:rsidR="003F510E" w:rsidRPr="003F510E">
        <w:rPr>
          <w:rFonts w:ascii="Arial" w:hAnsi="Arial" w:cs="Arial"/>
          <w:sz w:val="20"/>
          <w:szCs w:val="20"/>
        </w:rPr>
        <w:t xml:space="preserve"> even if they declare that they have not previously been in Australia</w:t>
      </w:r>
      <w:r w:rsidR="0019298F">
        <w:rPr>
          <w:rFonts w:ascii="Arial" w:hAnsi="Arial" w:cs="Arial"/>
          <w:sz w:val="20"/>
          <w:szCs w:val="20"/>
        </w:rPr>
        <w:t>. This will ensure that any Australian criminal history is considered before the applicant is registered.</w:t>
      </w:r>
    </w:p>
    <w:p w:rsidR="0026586D" w:rsidRDefault="0026586D" w:rsidP="003F510E">
      <w:pPr>
        <w:rPr>
          <w:rFonts w:ascii="Arial" w:hAnsi="Arial" w:cs="Arial"/>
          <w:sz w:val="20"/>
          <w:szCs w:val="20"/>
        </w:rPr>
      </w:pPr>
      <w:r>
        <w:rPr>
          <w:rFonts w:ascii="Arial" w:hAnsi="Arial" w:cs="Arial"/>
          <w:sz w:val="20"/>
          <w:szCs w:val="20"/>
        </w:rPr>
        <w:t>There will be no change to the requirement for all applicants to make a declaration about their criminal history both within and outside Australia</w:t>
      </w:r>
      <w:r w:rsidR="00FB607F">
        <w:rPr>
          <w:rFonts w:ascii="Arial" w:hAnsi="Arial" w:cs="Arial"/>
          <w:sz w:val="20"/>
          <w:szCs w:val="20"/>
        </w:rPr>
        <w:t xml:space="preserve"> when they apply for registration</w:t>
      </w:r>
      <w:r>
        <w:rPr>
          <w:rFonts w:ascii="Arial" w:hAnsi="Arial" w:cs="Arial"/>
          <w:sz w:val="20"/>
          <w:szCs w:val="20"/>
        </w:rPr>
        <w:t>. Where an applicant discloses a significant criminal history outside Australia, an international criminal history check will be undertaken before registration.</w:t>
      </w:r>
      <w:r w:rsidR="00FB607F">
        <w:rPr>
          <w:rFonts w:ascii="Arial" w:hAnsi="Arial" w:cs="Arial"/>
          <w:sz w:val="20"/>
          <w:szCs w:val="20"/>
        </w:rPr>
        <w:t xml:space="preserve"> </w:t>
      </w:r>
    </w:p>
    <w:p w:rsidR="00FB607F" w:rsidRPr="003F510E" w:rsidRDefault="00FB607F" w:rsidP="00FB607F">
      <w:pPr>
        <w:autoSpaceDE w:val="0"/>
        <w:autoSpaceDN w:val="0"/>
        <w:adjustRightInd w:val="0"/>
        <w:spacing w:after="0"/>
        <w:rPr>
          <w:rFonts w:ascii="Arial" w:hAnsi="Arial" w:cs="Arial"/>
          <w:sz w:val="20"/>
          <w:szCs w:val="20"/>
        </w:rPr>
      </w:pPr>
      <w:r>
        <w:rPr>
          <w:rFonts w:ascii="Arial" w:hAnsi="Arial" w:cs="Arial"/>
          <w:sz w:val="20"/>
          <w:szCs w:val="20"/>
        </w:rPr>
        <w:t xml:space="preserve">The National Boards will continue to require all applicants to </w:t>
      </w:r>
      <w:r w:rsidR="005C3C44">
        <w:rPr>
          <w:rFonts w:ascii="Arial" w:hAnsi="Arial" w:cs="Arial"/>
          <w:sz w:val="20"/>
          <w:szCs w:val="20"/>
        </w:rPr>
        <w:t>arrange the provision of</w:t>
      </w:r>
      <w:r>
        <w:rPr>
          <w:rFonts w:ascii="Arial" w:hAnsi="Arial" w:cs="Arial"/>
          <w:sz w:val="20"/>
          <w:szCs w:val="20"/>
        </w:rPr>
        <w:t xml:space="preserve"> a Certifi</w:t>
      </w:r>
      <w:r w:rsidRPr="00FB607F">
        <w:rPr>
          <w:rFonts w:ascii="Arial" w:hAnsi="Arial" w:cs="Arial"/>
          <w:sz w:val="20"/>
          <w:szCs w:val="20"/>
        </w:rPr>
        <w:t>cate of Registration Status or</w:t>
      </w:r>
      <w:r>
        <w:rPr>
          <w:rFonts w:ascii="Arial" w:hAnsi="Arial" w:cs="Arial"/>
          <w:sz w:val="20"/>
          <w:szCs w:val="20"/>
        </w:rPr>
        <w:t xml:space="preserve"> Certifi</w:t>
      </w:r>
      <w:r w:rsidRPr="00FB607F">
        <w:rPr>
          <w:rFonts w:ascii="Arial" w:hAnsi="Arial" w:cs="Arial"/>
          <w:sz w:val="20"/>
          <w:szCs w:val="20"/>
        </w:rPr>
        <w:t>cate of Good Standing from every jurisdiction in which</w:t>
      </w:r>
      <w:r>
        <w:rPr>
          <w:rFonts w:ascii="Arial" w:hAnsi="Arial" w:cs="Arial"/>
          <w:sz w:val="20"/>
          <w:szCs w:val="20"/>
        </w:rPr>
        <w:t xml:space="preserve"> they are</w:t>
      </w:r>
      <w:r w:rsidRPr="00FB607F">
        <w:rPr>
          <w:rFonts w:ascii="Arial" w:hAnsi="Arial" w:cs="Arial"/>
          <w:sz w:val="20"/>
          <w:szCs w:val="20"/>
        </w:rPr>
        <w:t xml:space="preserve"> currently, or </w:t>
      </w:r>
      <w:r>
        <w:rPr>
          <w:rFonts w:ascii="Arial" w:hAnsi="Arial" w:cs="Arial"/>
          <w:sz w:val="20"/>
          <w:szCs w:val="20"/>
        </w:rPr>
        <w:t>have</w:t>
      </w:r>
      <w:r w:rsidRPr="00FB607F">
        <w:rPr>
          <w:rFonts w:ascii="Arial" w:hAnsi="Arial" w:cs="Arial"/>
          <w:sz w:val="20"/>
          <w:szCs w:val="20"/>
        </w:rPr>
        <w:t xml:space="preserve"> previously been registered as a health</w:t>
      </w:r>
      <w:r>
        <w:rPr>
          <w:rFonts w:ascii="Arial" w:hAnsi="Arial" w:cs="Arial"/>
          <w:sz w:val="20"/>
          <w:szCs w:val="20"/>
        </w:rPr>
        <w:t xml:space="preserve"> </w:t>
      </w:r>
      <w:r w:rsidRPr="00FB607F">
        <w:rPr>
          <w:rFonts w:ascii="Arial" w:hAnsi="Arial" w:cs="Arial"/>
          <w:sz w:val="20"/>
          <w:szCs w:val="20"/>
        </w:rPr>
        <w:t xml:space="preserve">practitioner (including overseas registrations) during the </w:t>
      </w:r>
      <w:r>
        <w:rPr>
          <w:rFonts w:ascii="Arial" w:hAnsi="Arial" w:cs="Arial"/>
          <w:sz w:val="20"/>
          <w:szCs w:val="20"/>
        </w:rPr>
        <w:t>period specified by each Board (mostly five years and ten years for the Medical Board of Australia)</w:t>
      </w:r>
      <w:r w:rsidRPr="00FB607F">
        <w:rPr>
          <w:rFonts w:ascii="Arial" w:hAnsi="Arial" w:cs="Arial"/>
          <w:sz w:val="20"/>
          <w:szCs w:val="20"/>
        </w:rPr>
        <w:t>.</w:t>
      </w:r>
      <w:r>
        <w:rPr>
          <w:rFonts w:ascii="Arial" w:hAnsi="Arial" w:cs="Arial"/>
          <w:sz w:val="20"/>
          <w:szCs w:val="20"/>
        </w:rPr>
        <w:t xml:space="preserve"> The applicant</w:t>
      </w:r>
      <w:r w:rsidRPr="00FB607F">
        <w:rPr>
          <w:rFonts w:ascii="Arial" w:hAnsi="Arial" w:cs="Arial"/>
          <w:sz w:val="20"/>
          <w:szCs w:val="20"/>
        </w:rPr>
        <w:t xml:space="preserve"> mu</w:t>
      </w:r>
      <w:r>
        <w:rPr>
          <w:rFonts w:ascii="Arial" w:hAnsi="Arial" w:cs="Arial"/>
          <w:sz w:val="20"/>
          <w:szCs w:val="20"/>
        </w:rPr>
        <w:t>st arrange for original Certifi</w:t>
      </w:r>
      <w:r w:rsidRPr="00FB607F">
        <w:rPr>
          <w:rFonts w:ascii="Arial" w:hAnsi="Arial" w:cs="Arial"/>
          <w:sz w:val="20"/>
          <w:szCs w:val="20"/>
        </w:rPr>
        <w:t>cates to be forwarded</w:t>
      </w:r>
      <w:r>
        <w:rPr>
          <w:rFonts w:ascii="Arial" w:hAnsi="Arial" w:cs="Arial"/>
          <w:sz w:val="20"/>
          <w:szCs w:val="20"/>
        </w:rPr>
        <w:t xml:space="preserve"> </w:t>
      </w:r>
      <w:r w:rsidRPr="00FB607F">
        <w:rPr>
          <w:rFonts w:ascii="Arial" w:hAnsi="Arial" w:cs="Arial"/>
          <w:sz w:val="20"/>
          <w:szCs w:val="20"/>
        </w:rPr>
        <w:t xml:space="preserve">directly from the licensing or registration authority to the </w:t>
      </w:r>
      <w:r>
        <w:rPr>
          <w:rFonts w:ascii="Arial" w:hAnsi="Arial" w:cs="Arial"/>
          <w:sz w:val="20"/>
          <w:szCs w:val="20"/>
        </w:rPr>
        <w:t>relevant National Board.</w:t>
      </w:r>
    </w:p>
    <w:p w:rsidR="00F31C8E" w:rsidRDefault="00E75A7A">
      <w:pPr>
        <w:pStyle w:val="AHPRASubhead"/>
        <w:spacing w:before="360"/>
      </w:pPr>
      <w:r>
        <w:t xml:space="preserve">How </w:t>
      </w:r>
      <w:r w:rsidR="00B37AD5">
        <w:t xml:space="preserve">claims of persecution and </w:t>
      </w:r>
      <w:r>
        <w:t>‘</w:t>
      </w:r>
      <w:r w:rsidR="0073108C">
        <w:t xml:space="preserve">questionable’ international </w:t>
      </w:r>
      <w:r>
        <w:t>convictions will be addressed</w:t>
      </w:r>
    </w:p>
    <w:p w:rsidR="0019298F" w:rsidRDefault="0019298F" w:rsidP="003F510E">
      <w:pPr>
        <w:rPr>
          <w:rFonts w:ascii="Arial" w:hAnsi="Arial" w:cs="Arial"/>
          <w:sz w:val="20"/>
          <w:szCs w:val="20"/>
        </w:rPr>
      </w:pPr>
      <w:r>
        <w:rPr>
          <w:rFonts w:ascii="Arial" w:hAnsi="Arial" w:cs="Arial"/>
          <w:sz w:val="20"/>
          <w:szCs w:val="20"/>
        </w:rPr>
        <w:t>Offences in some countries are not offences under Australian law. For example, some countries have established offences for political activity</w:t>
      </w:r>
      <w:r w:rsidR="00B37AD5">
        <w:rPr>
          <w:rFonts w:ascii="Arial" w:hAnsi="Arial" w:cs="Arial"/>
          <w:sz w:val="20"/>
          <w:szCs w:val="20"/>
        </w:rPr>
        <w:t xml:space="preserve"> which do not exist in Australia</w:t>
      </w:r>
      <w:r>
        <w:rPr>
          <w:rFonts w:ascii="Arial" w:hAnsi="Arial" w:cs="Arial"/>
          <w:sz w:val="20"/>
          <w:szCs w:val="20"/>
        </w:rPr>
        <w:t xml:space="preserve">. There are also countries where the criminal justice system is </w:t>
      </w:r>
      <w:r w:rsidR="00B37AD5">
        <w:rPr>
          <w:rFonts w:ascii="Arial" w:hAnsi="Arial" w:cs="Arial"/>
          <w:sz w:val="20"/>
          <w:szCs w:val="20"/>
        </w:rPr>
        <w:t>less</w:t>
      </w:r>
      <w:r>
        <w:rPr>
          <w:rFonts w:ascii="Arial" w:hAnsi="Arial" w:cs="Arial"/>
          <w:sz w:val="20"/>
          <w:szCs w:val="20"/>
        </w:rPr>
        <w:t xml:space="preserve"> robust and a conviction may be made on the basis of questionable evidence</w:t>
      </w:r>
      <w:r w:rsidR="003E7E6F">
        <w:rPr>
          <w:rFonts w:ascii="Arial" w:hAnsi="Arial" w:cs="Arial"/>
          <w:sz w:val="20"/>
          <w:szCs w:val="20"/>
        </w:rPr>
        <w:t xml:space="preserve"> or the applicant may make a claim of persecution</w:t>
      </w:r>
      <w:r>
        <w:rPr>
          <w:rFonts w:ascii="Arial" w:hAnsi="Arial" w:cs="Arial"/>
          <w:sz w:val="20"/>
          <w:szCs w:val="20"/>
        </w:rPr>
        <w:t xml:space="preserve">. </w:t>
      </w:r>
    </w:p>
    <w:p w:rsidR="003F510E" w:rsidRPr="003F510E" w:rsidRDefault="005B4ABC" w:rsidP="003F510E">
      <w:pPr>
        <w:rPr>
          <w:rFonts w:ascii="Arial" w:hAnsi="Arial" w:cs="Arial"/>
          <w:sz w:val="20"/>
          <w:szCs w:val="20"/>
        </w:rPr>
      </w:pPr>
      <w:r>
        <w:rPr>
          <w:rFonts w:ascii="Arial" w:hAnsi="Arial" w:cs="Arial"/>
          <w:sz w:val="20"/>
          <w:szCs w:val="20"/>
        </w:rPr>
        <w:t>International criminal history checks will still be done for these countries</w:t>
      </w:r>
      <w:r w:rsidR="0019298F">
        <w:rPr>
          <w:rFonts w:ascii="Arial" w:hAnsi="Arial" w:cs="Arial"/>
          <w:sz w:val="20"/>
          <w:szCs w:val="20"/>
        </w:rPr>
        <w:t xml:space="preserve">. However, the National Boards’ criminal history registration standard </w:t>
      </w:r>
      <w:r>
        <w:rPr>
          <w:rFonts w:ascii="Arial" w:hAnsi="Arial" w:cs="Arial"/>
          <w:sz w:val="20"/>
          <w:szCs w:val="20"/>
        </w:rPr>
        <w:t>explains how</w:t>
      </w:r>
      <w:r w:rsidR="0019298F">
        <w:rPr>
          <w:rFonts w:ascii="Arial" w:hAnsi="Arial" w:cs="Arial"/>
          <w:sz w:val="20"/>
          <w:szCs w:val="20"/>
        </w:rPr>
        <w:t xml:space="preserve"> Boards </w:t>
      </w:r>
      <w:r>
        <w:rPr>
          <w:rFonts w:ascii="Arial" w:hAnsi="Arial" w:cs="Arial"/>
          <w:sz w:val="20"/>
          <w:szCs w:val="20"/>
        </w:rPr>
        <w:t>will</w:t>
      </w:r>
      <w:r w:rsidR="0019298F">
        <w:rPr>
          <w:rFonts w:ascii="Arial" w:hAnsi="Arial" w:cs="Arial"/>
          <w:sz w:val="20"/>
          <w:szCs w:val="20"/>
        </w:rPr>
        <w:t xml:space="preserve"> take these issues into account when considering an applicant’s criminal history.  </w:t>
      </w:r>
    </w:p>
    <w:p w:rsidR="00F17BED" w:rsidRPr="00F17BED" w:rsidRDefault="0073108C" w:rsidP="00F17BED">
      <w:pPr>
        <w:pStyle w:val="AHPRASubheadinglevel2"/>
        <w:rPr>
          <w:b w:val="0"/>
        </w:rPr>
      </w:pPr>
      <w:r>
        <w:rPr>
          <w:b w:val="0"/>
        </w:rPr>
        <w:t>Any evidence</w:t>
      </w:r>
      <w:r w:rsidR="003F510E" w:rsidRPr="00F17BED">
        <w:rPr>
          <w:b w:val="0"/>
        </w:rPr>
        <w:t xml:space="preserve"> that seeking </w:t>
      </w:r>
      <w:r>
        <w:rPr>
          <w:b w:val="0"/>
        </w:rPr>
        <w:t>an international</w:t>
      </w:r>
      <w:r w:rsidRPr="00F17BED">
        <w:rPr>
          <w:b w:val="0"/>
        </w:rPr>
        <w:t xml:space="preserve"> </w:t>
      </w:r>
      <w:r w:rsidR="003F510E" w:rsidRPr="00F17BED">
        <w:rPr>
          <w:b w:val="0"/>
        </w:rPr>
        <w:t xml:space="preserve">criminal history will lead to persecution of the applicant or their </w:t>
      </w:r>
      <w:proofErr w:type="gramStart"/>
      <w:r w:rsidR="003F510E" w:rsidRPr="00F17BED">
        <w:rPr>
          <w:b w:val="0"/>
        </w:rPr>
        <w:t>relatives</w:t>
      </w:r>
      <w:r>
        <w:rPr>
          <w:b w:val="0"/>
        </w:rPr>
        <w:t>,</w:t>
      </w:r>
      <w:proofErr w:type="gramEnd"/>
      <w:r>
        <w:rPr>
          <w:b w:val="0"/>
        </w:rPr>
        <w:t xml:space="preserve"> will </w:t>
      </w:r>
      <w:r w:rsidR="00C91D02">
        <w:rPr>
          <w:b w:val="0"/>
        </w:rPr>
        <w:t>be presented to a National Board for their consideration before the check is requested</w:t>
      </w:r>
      <w:r w:rsidR="003F510E" w:rsidRPr="00F17BED">
        <w:rPr>
          <w:b w:val="0"/>
        </w:rPr>
        <w:t xml:space="preserve">. </w:t>
      </w:r>
    </w:p>
    <w:p w:rsidR="00F31C8E" w:rsidRDefault="00527E7A">
      <w:pPr>
        <w:pStyle w:val="AHPRASubhead"/>
        <w:spacing w:before="360"/>
      </w:pPr>
      <w:bookmarkStart w:id="7" w:name="_Toc320239873"/>
      <w:r w:rsidRPr="00DE4C79">
        <w:t>You are invited to provide feedback</w:t>
      </w:r>
    </w:p>
    <w:p w:rsidR="00527E7A" w:rsidRPr="00DE4C79" w:rsidRDefault="00527E7A" w:rsidP="00527E7A">
      <w:pPr>
        <w:pStyle w:val="AHPRABulletlevel1"/>
        <w:numPr>
          <w:ilvl w:val="0"/>
          <w:numId w:val="0"/>
        </w:numPr>
        <w:rPr>
          <w:rFonts w:cs="Arial"/>
          <w:szCs w:val="20"/>
        </w:rPr>
      </w:pPr>
      <w:r w:rsidRPr="00DE4C79">
        <w:rPr>
          <w:rFonts w:cs="Arial"/>
          <w:szCs w:val="20"/>
        </w:rPr>
        <w:t xml:space="preserve">The National Boards are seeking feedback on the </w:t>
      </w:r>
      <w:r w:rsidR="00357012">
        <w:rPr>
          <w:rFonts w:cs="Arial"/>
          <w:szCs w:val="20"/>
        </w:rPr>
        <w:t>proposed new</w:t>
      </w:r>
      <w:r>
        <w:rPr>
          <w:rFonts w:cs="Arial"/>
          <w:szCs w:val="20"/>
        </w:rPr>
        <w:t xml:space="preserve"> process for international criminal history checking </w:t>
      </w:r>
      <w:r w:rsidRPr="00DE4C79">
        <w:rPr>
          <w:rFonts w:cs="Arial"/>
          <w:szCs w:val="20"/>
        </w:rPr>
        <w:t>as well as on the following questions.</w:t>
      </w:r>
    </w:p>
    <w:p w:rsidR="00357012" w:rsidRDefault="00357012" w:rsidP="00527E7A">
      <w:pPr>
        <w:numPr>
          <w:ilvl w:val="0"/>
          <w:numId w:val="36"/>
        </w:numPr>
        <w:spacing w:before="120" w:after="120"/>
        <w:ind w:left="284" w:hanging="284"/>
        <w:contextualSpacing/>
        <w:rPr>
          <w:rFonts w:ascii="Arial" w:hAnsi="Arial" w:cs="Arial"/>
          <w:sz w:val="20"/>
          <w:szCs w:val="20"/>
        </w:rPr>
      </w:pPr>
      <w:r>
        <w:rPr>
          <w:rFonts w:ascii="Arial" w:hAnsi="Arial" w:cs="Arial"/>
          <w:sz w:val="20"/>
          <w:szCs w:val="20"/>
        </w:rPr>
        <w:t>Is the proposed new approach the best option?</w:t>
      </w:r>
    </w:p>
    <w:p w:rsidR="00527E7A" w:rsidRDefault="00AF0340" w:rsidP="00527E7A">
      <w:pPr>
        <w:numPr>
          <w:ilvl w:val="0"/>
          <w:numId w:val="36"/>
        </w:numPr>
        <w:spacing w:before="120" w:after="120"/>
        <w:ind w:left="284" w:hanging="284"/>
        <w:contextualSpacing/>
        <w:rPr>
          <w:rFonts w:ascii="Arial" w:hAnsi="Arial" w:cs="Arial"/>
          <w:sz w:val="20"/>
          <w:szCs w:val="20"/>
        </w:rPr>
      </w:pPr>
      <w:r>
        <w:rPr>
          <w:rFonts w:ascii="Arial" w:hAnsi="Arial" w:cs="Arial"/>
          <w:sz w:val="20"/>
          <w:szCs w:val="20"/>
        </w:rPr>
        <w:t xml:space="preserve">Is </w:t>
      </w:r>
      <w:r w:rsidR="00527E7A" w:rsidRPr="00DE4C79">
        <w:rPr>
          <w:rFonts w:ascii="Arial" w:hAnsi="Arial" w:cs="Arial"/>
          <w:sz w:val="20"/>
          <w:szCs w:val="20"/>
        </w:rPr>
        <w:t xml:space="preserve">the </w:t>
      </w:r>
      <w:r w:rsidR="00F036B3">
        <w:rPr>
          <w:rFonts w:ascii="Arial" w:hAnsi="Arial" w:cs="Arial"/>
          <w:sz w:val="20"/>
          <w:szCs w:val="20"/>
        </w:rPr>
        <w:t xml:space="preserve">proposed </w:t>
      </w:r>
      <w:r w:rsidR="00357012">
        <w:rPr>
          <w:rFonts w:ascii="Arial" w:hAnsi="Arial" w:cs="Arial"/>
          <w:sz w:val="20"/>
          <w:szCs w:val="20"/>
        </w:rPr>
        <w:t>approach</w:t>
      </w:r>
      <w:r w:rsidR="00527E7A" w:rsidRPr="00DE4C79">
        <w:rPr>
          <w:rFonts w:ascii="Arial" w:hAnsi="Arial" w:cs="Arial"/>
          <w:sz w:val="20"/>
          <w:szCs w:val="20"/>
        </w:rPr>
        <w:t xml:space="preserve"> clear?</w:t>
      </w:r>
    </w:p>
    <w:p w:rsidR="00357012" w:rsidRDefault="00357012" w:rsidP="00527E7A">
      <w:pPr>
        <w:numPr>
          <w:ilvl w:val="0"/>
          <w:numId w:val="36"/>
        </w:numPr>
        <w:spacing w:before="120" w:after="120"/>
        <w:ind w:left="284" w:hanging="284"/>
        <w:contextualSpacing/>
        <w:rPr>
          <w:rFonts w:ascii="Arial" w:hAnsi="Arial" w:cs="Arial"/>
          <w:sz w:val="20"/>
          <w:szCs w:val="20"/>
        </w:rPr>
      </w:pPr>
      <w:r>
        <w:rPr>
          <w:rFonts w:ascii="Arial" w:hAnsi="Arial" w:cs="Arial"/>
          <w:sz w:val="20"/>
          <w:szCs w:val="20"/>
        </w:rPr>
        <w:t>Are there any risks or issues about the proposed process that need more consideration?</w:t>
      </w:r>
    </w:p>
    <w:p w:rsidR="00CE3708" w:rsidRPr="00DE4C79" w:rsidRDefault="00CE3708" w:rsidP="00527E7A">
      <w:pPr>
        <w:numPr>
          <w:ilvl w:val="0"/>
          <w:numId w:val="36"/>
        </w:numPr>
        <w:spacing w:before="120" w:after="120"/>
        <w:ind w:left="284" w:hanging="284"/>
        <w:contextualSpacing/>
        <w:rPr>
          <w:rFonts w:ascii="Arial" w:hAnsi="Arial" w:cs="Arial"/>
          <w:sz w:val="20"/>
          <w:szCs w:val="20"/>
        </w:rPr>
      </w:pPr>
      <w:r>
        <w:rPr>
          <w:rFonts w:ascii="Arial" w:hAnsi="Arial" w:cs="Arial"/>
          <w:sz w:val="20"/>
          <w:szCs w:val="20"/>
        </w:rPr>
        <w:t>Should international criminal history checks be conducted for countries</w:t>
      </w:r>
      <w:r w:rsidR="00EC7414">
        <w:rPr>
          <w:rFonts w:ascii="Arial" w:hAnsi="Arial" w:cs="Arial"/>
          <w:sz w:val="20"/>
          <w:szCs w:val="20"/>
        </w:rPr>
        <w:t xml:space="preserve"> where</w:t>
      </w:r>
      <w:r>
        <w:rPr>
          <w:rFonts w:ascii="Arial" w:hAnsi="Arial" w:cs="Arial"/>
          <w:sz w:val="20"/>
          <w:szCs w:val="20"/>
        </w:rPr>
        <w:t xml:space="preserve"> applicants have spent three months or more, or six months or more?</w:t>
      </w:r>
    </w:p>
    <w:p w:rsidR="00527E7A" w:rsidRPr="00DE4C79" w:rsidRDefault="00527E7A" w:rsidP="00527E7A">
      <w:pPr>
        <w:numPr>
          <w:ilvl w:val="0"/>
          <w:numId w:val="36"/>
        </w:numPr>
        <w:spacing w:before="120" w:after="120"/>
        <w:ind w:left="284" w:hanging="284"/>
        <w:contextualSpacing/>
        <w:rPr>
          <w:rFonts w:ascii="Arial" w:hAnsi="Arial" w:cs="Arial"/>
          <w:sz w:val="20"/>
          <w:szCs w:val="20"/>
        </w:rPr>
      </w:pPr>
      <w:r w:rsidRPr="00DE4C79">
        <w:rPr>
          <w:rFonts w:ascii="Arial" w:hAnsi="Arial" w:cs="Arial"/>
          <w:sz w:val="20"/>
          <w:szCs w:val="20"/>
        </w:rPr>
        <w:t>Do you have any other comments?</w:t>
      </w:r>
    </w:p>
    <w:bookmarkEnd w:id="7"/>
    <w:p w:rsidR="009A68A8" w:rsidRDefault="009A68A8">
      <w:pPr>
        <w:spacing w:after="0"/>
        <w:rPr>
          <w:rFonts w:ascii="Arial" w:hAnsi="Arial" w:cs="Arial"/>
          <w:sz w:val="20"/>
        </w:rPr>
      </w:pPr>
      <w:r>
        <w:br w:type="page"/>
      </w:r>
    </w:p>
    <w:p w:rsidR="00F31C8E" w:rsidRDefault="009A68A8">
      <w:pPr>
        <w:pStyle w:val="AHPRADocumentsubheading"/>
      </w:pPr>
      <w:bookmarkStart w:id="8" w:name="_Toc355556954"/>
      <w:r>
        <w:t>Attachment one</w:t>
      </w:r>
      <w:bookmarkEnd w:id="8"/>
    </w:p>
    <w:p w:rsidR="009A68A8" w:rsidRPr="009A68A8" w:rsidRDefault="00350127" w:rsidP="009A68A8">
      <w:pPr>
        <w:pStyle w:val="AHPRASubhead"/>
        <w:rPr>
          <w:rFonts w:cs="Arial"/>
          <w:sz w:val="24"/>
        </w:rPr>
      </w:pPr>
      <w:r w:rsidRPr="00350127">
        <w:rPr>
          <w:rFonts w:cs="Arial"/>
          <w:sz w:val="24"/>
        </w:rPr>
        <w:t>Options from previous consultation</w:t>
      </w:r>
    </w:p>
    <w:p w:rsidR="009A68A8" w:rsidRPr="009A68A8" w:rsidRDefault="00350127" w:rsidP="009A68A8">
      <w:pPr>
        <w:spacing w:before="120" w:after="120"/>
        <w:rPr>
          <w:rFonts w:ascii="Arial" w:hAnsi="Arial" w:cs="Arial"/>
          <w:sz w:val="20"/>
          <w:szCs w:val="20"/>
        </w:rPr>
      </w:pPr>
      <w:r w:rsidRPr="00350127">
        <w:rPr>
          <w:rFonts w:ascii="Arial" w:hAnsi="Arial" w:cs="Arial"/>
          <w:sz w:val="20"/>
          <w:szCs w:val="20"/>
        </w:rPr>
        <w:t>The options and issues are complex. The scope and content of criminal history documentation is likely to vary across countries. In addition, different approaches to the criminal law and varying political environments may mean that it may be difficult to determine the accuracy of an international criminal history, or the weight to be assigned to a particular offence.</w:t>
      </w:r>
    </w:p>
    <w:p w:rsidR="009A68A8" w:rsidRPr="009A68A8" w:rsidRDefault="00350127" w:rsidP="009A68A8">
      <w:pPr>
        <w:spacing w:before="120" w:after="120"/>
        <w:rPr>
          <w:rFonts w:ascii="Arial" w:hAnsi="Arial" w:cs="Arial"/>
          <w:sz w:val="20"/>
          <w:szCs w:val="20"/>
        </w:rPr>
      </w:pPr>
      <w:r w:rsidRPr="00350127">
        <w:rPr>
          <w:rFonts w:ascii="Arial" w:hAnsi="Arial" w:cs="Arial"/>
          <w:sz w:val="20"/>
          <w:szCs w:val="20"/>
        </w:rPr>
        <w:t xml:space="preserve">Listed below are a number of options on how to process international criminal history checks </w:t>
      </w:r>
      <w:r w:rsidR="00CE3708" w:rsidRPr="00350127">
        <w:rPr>
          <w:rFonts w:ascii="Arial" w:hAnsi="Arial" w:cs="Arial"/>
          <w:sz w:val="20"/>
          <w:szCs w:val="20"/>
        </w:rPr>
        <w:t>for</w:t>
      </w:r>
      <w:r w:rsidR="00CE3708">
        <w:rPr>
          <w:rFonts w:ascii="Arial" w:hAnsi="Arial" w:cs="Arial"/>
          <w:sz w:val="20"/>
          <w:szCs w:val="20"/>
        </w:rPr>
        <w:t xml:space="preserve"> </w:t>
      </w:r>
      <w:r w:rsidR="00CE3708" w:rsidRPr="00350127">
        <w:rPr>
          <w:rFonts w:ascii="Arial" w:hAnsi="Arial" w:cs="Arial"/>
          <w:sz w:val="20"/>
          <w:szCs w:val="20"/>
        </w:rPr>
        <w:t>internationally</w:t>
      </w:r>
      <w:r w:rsidRPr="00350127">
        <w:rPr>
          <w:rFonts w:ascii="Arial" w:hAnsi="Arial" w:cs="Arial"/>
          <w:sz w:val="20"/>
          <w:szCs w:val="20"/>
        </w:rPr>
        <w:t xml:space="preserve"> qualified practitioners applying for registration, and their associated risks and benefits. These options have been developed taking into account the requirements of the National Law, including the objectives and guiding principles, and the risks associated with practitioners who have an international criminal history. </w:t>
      </w:r>
    </w:p>
    <w:p w:rsidR="009A68A8" w:rsidRPr="009A68A8" w:rsidRDefault="009A68A8" w:rsidP="00D94EE4">
      <w:pPr>
        <w:pStyle w:val="AHPRAsubheadinglevel20"/>
      </w:pPr>
      <w:bookmarkStart w:id="9" w:name="_Toc320239881"/>
      <w:r w:rsidRPr="009A68A8">
        <w:t xml:space="preserve">Option 1: Applicant </w:t>
      </w:r>
      <w:r w:rsidRPr="009A68A8">
        <w:rPr>
          <w:bCs/>
        </w:rPr>
        <w:t>declaration only</w:t>
      </w:r>
      <w:bookmarkEnd w:id="9"/>
      <w:r w:rsidRPr="009A68A8">
        <w:tab/>
      </w:r>
    </w:p>
    <w:p w:rsidR="009A68A8" w:rsidRPr="009A68A8" w:rsidRDefault="00350127" w:rsidP="009A68A8">
      <w:pPr>
        <w:spacing w:before="120" w:after="120"/>
        <w:rPr>
          <w:rFonts w:ascii="Arial" w:hAnsi="Arial" w:cs="Arial"/>
          <w:b/>
          <w:sz w:val="20"/>
          <w:szCs w:val="20"/>
        </w:rPr>
      </w:pPr>
      <w:r w:rsidRPr="00350127">
        <w:rPr>
          <w:rFonts w:ascii="Arial" w:hAnsi="Arial" w:cs="Arial"/>
          <w:sz w:val="20"/>
          <w:szCs w:val="20"/>
        </w:rPr>
        <w:t xml:space="preserve">This option requires the applicant </w:t>
      </w:r>
      <w:r w:rsidRPr="00350127">
        <w:rPr>
          <w:rFonts w:ascii="Arial" w:hAnsi="Arial" w:cs="Arial"/>
          <w:bCs/>
          <w:sz w:val="20"/>
          <w:szCs w:val="20"/>
        </w:rPr>
        <w:t xml:space="preserve">declaration only </w:t>
      </w:r>
      <w:r w:rsidRPr="00350127">
        <w:rPr>
          <w:rFonts w:ascii="Arial" w:hAnsi="Arial" w:cs="Arial"/>
          <w:sz w:val="20"/>
          <w:szCs w:val="20"/>
        </w:rPr>
        <w:t>- no additional evidence of criminal history is required, sought or obtained from jurisdictions outside Australia (this is the current approach).</w:t>
      </w:r>
    </w:p>
    <w:tbl>
      <w:tblPr>
        <w:tblW w:w="9713" w:type="dxa"/>
        <w:tblBorders>
          <w:top w:val="nil"/>
          <w:left w:val="nil"/>
          <w:bottom w:val="nil"/>
          <w:right w:val="nil"/>
        </w:tblBorders>
        <w:tblLayout w:type="fixed"/>
        <w:tblLook w:val="0000"/>
      </w:tblPr>
      <w:tblGrid>
        <w:gridCol w:w="4856"/>
        <w:gridCol w:w="4857"/>
      </w:tblGrid>
      <w:tr w:rsidR="009A68A8" w:rsidRPr="009A68A8" w:rsidTr="009A68A8">
        <w:trPr>
          <w:trHeight w:val="199"/>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i/>
                <w:sz w:val="20"/>
                <w:szCs w:val="20"/>
              </w:rPr>
            </w:pPr>
            <w:r w:rsidRPr="009A68A8">
              <w:rPr>
                <w:i/>
                <w:color w:val="008EC4"/>
                <w:sz w:val="20"/>
                <w:szCs w:val="20"/>
              </w:rPr>
              <w:t>Benefits of Option 1</w:t>
            </w:r>
          </w:p>
        </w:tc>
        <w:tc>
          <w:tcPr>
            <w:tcW w:w="4857"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r w:rsidRPr="009A68A8">
              <w:rPr>
                <w:i/>
                <w:color w:val="008EC4"/>
                <w:sz w:val="20"/>
                <w:szCs w:val="20"/>
              </w:rPr>
              <w:t>Risks</w:t>
            </w:r>
          </w:p>
        </w:tc>
      </w:tr>
      <w:tr w:rsidR="009A68A8" w:rsidRPr="009A68A8" w:rsidTr="009A68A8">
        <w:trPr>
          <w:trHeight w:val="370"/>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r w:rsidRPr="009A68A8">
              <w:rPr>
                <w:sz w:val="20"/>
                <w:szCs w:val="20"/>
              </w:rPr>
              <w:t xml:space="preserve">A false declaration on application may be deemed provision of false or misleading information and can be </w:t>
            </w:r>
            <w:proofErr w:type="spellStart"/>
            <w:r w:rsidRPr="009A68A8">
              <w:rPr>
                <w:sz w:val="20"/>
                <w:szCs w:val="20"/>
              </w:rPr>
              <w:t>actioned</w:t>
            </w:r>
            <w:proofErr w:type="spellEnd"/>
            <w:r w:rsidRPr="009A68A8">
              <w:rPr>
                <w:sz w:val="20"/>
                <w:szCs w:val="20"/>
              </w:rPr>
              <w:t xml:space="preserve"> under Part 8 of the National Law including the cancellation of registration</w:t>
            </w: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 xml:space="preserve">Declarations/statements made on application are not statutory declarations, as such there are lesser penalties or remedies available for provision of false information </w:t>
            </w:r>
          </w:p>
        </w:tc>
      </w:tr>
      <w:tr w:rsidR="009A68A8" w:rsidRPr="009A68A8" w:rsidTr="009A68A8">
        <w:trPr>
          <w:trHeight w:val="244"/>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r w:rsidRPr="009A68A8">
              <w:rPr>
                <w:sz w:val="20"/>
                <w:szCs w:val="20"/>
              </w:rPr>
              <w:t xml:space="preserve">No difficulties in communicating with overseas jurisdictions, either by the applicant or by AHPRA, meaning that assessment processes are not delayed </w:t>
            </w: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 xml:space="preserve">To investigate/pursue action under </w:t>
            </w:r>
            <w:proofErr w:type="spellStart"/>
            <w:r w:rsidRPr="009A68A8">
              <w:rPr>
                <w:sz w:val="20"/>
                <w:szCs w:val="20"/>
              </w:rPr>
              <w:t>Part</w:t>
            </w:r>
            <w:proofErr w:type="spellEnd"/>
            <w:r w:rsidRPr="009A68A8">
              <w:rPr>
                <w:sz w:val="20"/>
                <w:szCs w:val="20"/>
              </w:rPr>
              <w:t xml:space="preserve"> 8 for all instances of false information would be resource intensive</w:t>
            </w:r>
          </w:p>
        </w:tc>
      </w:tr>
      <w:tr w:rsidR="009A68A8" w:rsidRPr="009A68A8" w:rsidTr="009A68A8">
        <w:trPr>
          <w:trHeight w:val="244"/>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r w:rsidRPr="009A68A8">
              <w:rPr>
                <w:sz w:val="20"/>
                <w:szCs w:val="20"/>
              </w:rPr>
              <w:t xml:space="preserve">No additional cost or resource implications (unless pursuing Part 8 action/s) </w:t>
            </w: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 xml:space="preserve">Minimal consequence or deterrence for not declaring overseas criminal history </w:t>
            </w:r>
          </w:p>
        </w:tc>
      </w:tr>
      <w:tr w:rsidR="009A68A8" w:rsidRPr="009A68A8" w:rsidTr="009A68A8">
        <w:trPr>
          <w:trHeight w:val="244"/>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Unlikely that AHPRA would easily gain evidence/proof of false declarations</w:t>
            </w:r>
          </w:p>
        </w:tc>
      </w:tr>
    </w:tbl>
    <w:p w:rsidR="00F31C8E" w:rsidRDefault="009A68A8">
      <w:pPr>
        <w:pStyle w:val="AHPRAsubheadinglevel20"/>
        <w:spacing w:before="360"/>
      </w:pPr>
      <w:bookmarkStart w:id="10" w:name="_Toc320239882"/>
      <w:r w:rsidRPr="009A68A8">
        <w:t>Option 2: Applicant provides criminal history clearance evidence with application</w:t>
      </w:r>
      <w:bookmarkEnd w:id="10"/>
    </w:p>
    <w:p w:rsidR="009A68A8" w:rsidRPr="009A68A8" w:rsidRDefault="009A68A8" w:rsidP="009A68A8">
      <w:pPr>
        <w:pStyle w:val="Default"/>
        <w:spacing w:before="240"/>
        <w:rPr>
          <w:sz w:val="20"/>
          <w:szCs w:val="20"/>
        </w:rPr>
      </w:pPr>
      <w:r w:rsidRPr="009A68A8">
        <w:rPr>
          <w:sz w:val="20"/>
          <w:szCs w:val="20"/>
        </w:rPr>
        <w:t>This option requires the internationally qualified applicant to:</w:t>
      </w:r>
    </w:p>
    <w:p w:rsidR="00F31C8E" w:rsidRDefault="009A68A8">
      <w:pPr>
        <w:pStyle w:val="AHPRABulletlevel1"/>
        <w:spacing w:before="120"/>
      </w:pPr>
      <w:r w:rsidRPr="009A68A8">
        <w:t xml:space="preserve">provide evidence of criminal history clearance, or </w:t>
      </w:r>
    </w:p>
    <w:p w:rsidR="00F31C8E" w:rsidRDefault="009A68A8">
      <w:pPr>
        <w:pStyle w:val="AHPRABulletlevel1"/>
        <w:spacing w:before="120" w:after="240"/>
      </w:pPr>
      <w:proofErr w:type="gramStart"/>
      <w:r w:rsidRPr="009A68A8">
        <w:t>provide/facilitate</w:t>
      </w:r>
      <w:proofErr w:type="gramEnd"/>
      <w:r w:rsidRPr="009A68A8">
        <w:t xml:space="preserve"> provision of criminal history information from jurisdictions outside Australia.</w:t>
      </w:r>
    </w:p>
    <w:tbl>
      <w:tblPr>
        <w:tblW w:w="9713" w:type="dxa"/>
        <w:tblBorders>
          <w:top w:val="nil"/>
          <w:left w:val="nil"/>
          <w:bottom w:val="nil"/>
          <w:right w:val="nil"/>
        </w:tblBorders>
        <w:tblLayout w:type="fixed"/>
        <w:tblLook w:val="0000"/>
      </w:tblPr>
      <w:tblGrid>
        <w:gridCol w:w="4856"/>
        <w:gridCol w:w="4857"/>
      </w:tblGrid>
      <w:tr w:rsidR="009A68A8" w:rsidRPr="009A68A8" w:rsidTr="009A68A8">
        <w:trPr>
          <w:cantSplit/>
          <w:trHeight w:val="199"/>
          <w:tblHeader/>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i/>
                <w:color w:val="008EC4"/>
                <w:sz w:val="20"/>
                <w:szCs w:val="20"/>
              </w:rPr>
            </w:pPr>
            <w:r w:rsidRPr="009A68A8">
              <w:rPr>
                <w:i/>
                <w:color w:val="008EC4"/>
                <w:sz w:val="20"/>
                <w:szCs w:val="20"/>
              </w:rPr>
              <w:t>Benefits of Option 2</w:t>
            </w:r>
          </w:p>
        </w:tc>
        <w:tc>
          <w:tcPr>
            <w:tcW w:w="4857"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i/>
                <w:color w:val="008EC4"/>
                <w:sz w:val="20"/>
                <w:szCs w:val="20"/>
              </w:rPr>
            </w:pPr>
            <w:r w:rsidRPr="009A68A8">
              <w:rPr>
                <w:i/>
                <w:color w:val="008EC4"/>
                <w:sz w:val="20"/>
                <w:szCs w:val="20"/>
              </w:rPr>
              <w:t>Risks</w:t>
            </w:r>
          </w:p>
        </w:tc>
      </w:tr>
      <w:tr w:rsidR="009A68A8" w:rsidRPr="009A68A8" w:rsidTr="009A68A8">
        <w:trPr>
          <w:trHeight w:val="244"/>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r w:rsidRPr="009A68A8">
              <w:rPr>
                <w:sz w:val="20"/>
                <w:szCs w:val="20"/>
              </w:rPr>
              <w:t xml:space="preserve">Applications will be incomplete until applicants provide all the necessary information </w:t>
            </w: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 xml:space="preserve">Delays for applicants communicating with overseas jurisdictions to gain the required information </w:t>
            </w:r>
          </w:p>
        </w:tc>
      </w:tr>
      <w:tr w:rsidR="009A68A8" w:rsidRPr="009A68A8" w:rsidTr="009A68A8">
        <w:trPr>
          <w:trHeight w:val="245"/>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r w:rsidRPr="009A68A8">
              <w:rPr>
                <w:sz w:val="20"/>
                <w:szCs w:val="20"/>
              </w:rPr>
              <w:t>No additional cost for the National Scheme and minimal resource implications</w:t>
            </w: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 xml:space="preserve">The National Law is not binding on overseas jurisdictions (spent convictions and release of information) </w:t>
            </w:r>
          </w:p>
        </w:tc>
      </w:tr>
      <w:tr w:rsidR="009A68A8" w:rsidRPr="009A68A8" w:rsidTr="009A68A8">
        <w:trPr>
          <w:trHeight w:val="245"/>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r w:rsidRPr="009A68A8">
              <w:rPr>
                <w:sz w:val="20"/>
                <w:szCs w:val="20"/>
              </w:rPr>
              <w:t>Provides additional assurance to verify declaration from applicant</w:t>
            </w: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Potential for the submission of fraudulent documents – specialist knowledge and resources are required to assess the evidence</w:t>
            </w:r>
          </w:p>
        </w:tc>
      </w:tr>
      <w:tr w:rsidR="009A68A8" w:rsidRPr="009A68A8" w:rsidTr="009A68A8">
        <w:trPr>
          <w:trHeight w:val="245"/>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Limitations (time and location) as to scope of information applicant must provide</w:t>
            </w:r>
          </w:p>
        </w:tc>
      </w:tr>
      <w:tr w:rsidR="009A68A8" w:rsidRPr="009A68A8" w:rsidTr="009A68A8">
        <w:trPr>
          <w:trHeight w:val="245"/>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Relies on the honesty of applicants and carries risks similar to those detailed under option one</w:t>
            </w:r>
          </w:p>
        </w:tc>
      </w:tr>
      <w:tr w:rsidR="009A68A8" w:rsidRPr="009A68A8" w:rsidTr="009A68A8">
        <w:trPr>
          <w:trHeight w:val="245"/>
        </w:trPr>
        <w:tc>
          <w:tcPr>
            <w:tcW w:w="4856" w:type="dxa"/>
            <w:tcBorders>
              <w:top w:val="single" w:sz="4" w:space="0" w:color="auto"/>
              <w:left w:val="single" w:sz="4" w:space="0" w:color="auto"/>
              <w:bottom w:val="single" w:sz="4" w:space="0" w:color="auto"/>
              <w:right w:val="single" w:sz="4" w:space="0" w:color="auto"/>
            </w:tcBorders>
          </w:tcPr>
          <w:p w:rsidR="009A68A8" w:rsidRPr="009A68A8" w:rsidRDefault="009A68A8" w:rsidP="00295B33">
            <w:pPr>
              <w:pStyle w:val="Default"/>
              <w:spacing w:before="60" w:after="60"/>
              <w:rPr>
                <w:sz w:val="20"/>
                <w:szCs w:val="20"/>
              </w:rPr>
            </w:pPr>
          </w:p>
        </w:tc>
        <w:tc>
          <w:tcPr>
            <w:tcW w:w="4857"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sz w:val="20"/>
                <w:szCs w:val="20"/>
              </w:rPr>
            </w:pPr>
            <w:r w:rsidRPr="009A68A8">
              <w:rPr>
                <w:sz w:val="20"/>
                <w:szCs w:val="20"/>
              </w:rPr>
              <w:t>May add significant time to and burden of preparation of applications (by applicant)</w:t>
            </w:r>
          </w:p>
        </w:tc>
      </w:tr>
    </w:tbl>
    <w:p w:rsidR="009A68A8" w:rsidRPr="009A68A8" w:rsidRDefault="009A68A8" w:rsidP="009A68A8">
      <w:pPr>
        <w:pStyle w:val="Default"/>
        <w:rPr>
          <w:sz w:val="20"/>
          <w:szCs w:val="20"/>
        </w:rPr>
      </w:pPr>
    </w:p>
    <w:p w:rsidR="009A68A8" w:rsidRPr="009A68A8" w:rsidRDefault="009A68A8" w:rsidP="009A68A8">
      <w:pPr>
        <w:pStyle w:val="Default"/>
        <w:rPr>
          <w:sz w:val="20"/>
          <w:szCs w:val="20"/>
        </w:rPr>
      </w:pPr>
    </w:p>
    <w:p w:rsidR="009A68A8" w:rsidRPr="009A68A8" w:rsidRDefault="009A68A8" w:rsidP="009A68A8">
      <w:pPr>
        <w:pStyle w:val="AHPRAsubheadinglevel20"/>
        <w:rPr>
          <w:b w:val="0"/>
        </w:rPr>
      </w:pPr>
      <w:bookmarkStart w:id="11" w:name="_Toc320239883"/>
      <w:r w:rsidRPr="009A68A8">
        <w:t>Option 3: AHPRA obtains clearance/information from jurisdictions outside Australia when processing application</w:t>
      </w:r>
      <w:bookmarkEnd w:id="11"/>
    </w:p>
    <w:p w:rsidR="009A68A8" w:rsidRPr="009A68A8" w:rsidRDefault="009A68A8" w:rsidP="00CE3708">
      <w:pPr>
        <w:pStyle w:val="Default"/>
        <w:rPr>
          <w:sz w:val="20"/>
          <w:szCs w:val="20"/>
        </w:rPr>
      </w:pPr>
      <w:r w:rsidRPr="009A68A8">
        <w:rPr>
          <w:sz w:val="20"/>
          <w:szCs w:val="20"/>
        </w:rPr>
        <w:t xml:space="preserve">This option places the onus on AHPRA to obtain criminal history clearance or evidence from jurisdictions outside Australia for internationally qualified applicants. </w:t>
      </w:r>
    </w:p>
    <w:p w:rsidR="009A68A8" w:rsidRPr="009A68A8" w:rsidRDefault="009A68A8" w:rsidP="009A68A8">
      <w:pPr>
        <w:pStyle w:val="Default"/>
        <w:rPr>
          <w:b/>
          <w: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819"/>
      </w:tblGrid>
      <w:tr w:rsidR="009A68A8" w:rsidRPr="009A68A8" w:rsidTr="009A68A8">
        <w:trPr>
          <w:trHeight w:val="244"/>
        </w:trPr>
        <w:tc>
          <w:tcPr>
            <w:tcW w:w="4928"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i/>
                <w:color w:val="008EC4"/>
                <w:sz w:val="20"/>
                <w:szCs w:val="20"/>
              </w:rPr>
            </w:pPr>
            <w:r w:rsidRPr="009A68A8">
              <w:rPr>
                <w:i/>
                <w:color w:val="008EC4"/>
                <w:sz w:val="20"/>
                <w:szCs w:val="20"/>
              </w:rPr>
              <w:t>Benefits of Option 3</w:t>
            </w:r>
          </w:p>
        </w:tc>
        <w:tc>
          <w:tcPr>
            <w:tcW w:w="4819" w:type="dxa"/>
            <w:tcBorders>
              <w:top w:val="single" w:sz="4" w:space="0" w:color="auto"/>
              <w:left w:val="single" w:sz="4" w:space="0" w:color="auto"/>
              <w:bottom w:val="single" w:sz="4" w:space="0" w:color="auto"/>
              <w:right w:val="single" w:sz="4" w:space="0" w:color="auto"/>
            </w:tcBorders>
          </w:tcPr>
          <w:p w:rsidR="00F31C8E" w:rsidRDefault="009A68A8">
            <w:pPr>
              <w:pStyle w:val="Default"/>
              <w:spacing w:after="60"/>
              <w:rPr>
                <w:i/>
                <w:color w:val="008EC4"/>
                <w:sz w:val="20"/>
                <w:szCs w:val="20"/>
              </w:rPr>
            </w:pPr>
            <w:r w:rsidRPr="009A68A8">
              <w:rPr>
                <w:i/>
                <w:color w:val="008EC4"/>
                <w:sz w:val="20"/>
                <w:szCs w:val="20"/>
              </w:rPr>
              <w:t>Risks</w:t>
            </w:r>
          </w:p>
        </w:tc>
      </w:tr>
      <w:tr w:rsidR="009A68A8" w:rsidRPr="009A68A8" w:rsidTr="009A68A8">
        <w:trPr>
          <w:trHeight w:val="244"/>
        </w:trPr>
        <w:tc>
          <w:tcPr>
            <w:tcW w:w="4928" w:type="dxa"/>
          </w:tcPr>
          <w:p w:rsidR="00F31C8E" w:rsidRDefault="009A68A8">
            <w:pPr>
              <w:pStyle w:val="Default"/>
              <w:spacing w:after="60"/>
              <w:rPr>
                <w:sz w:val="20"/>
                <w:szCs w:val="20"/>
              </w:rPr>
            </w:pPr>
            <w:r w:rsidRPr="009A68A8">
              <w:rPr>
                <w:sz w:val="20"/>
                <w:szCs w:val="20"/>
              </w:rPr>
              <w:t>Increased the veracity of criminal history information obtained directly from overseas authorities</w:t>
            </w:r>
          </w:p>
        </w:tc>
        <w:tc>
          <w:tcPr>
            <w:tcW w:w="4819" w:type="dxa"/>
          </w:tcPr>
          <w:p w:rsidR="00F31C8E" w:rsidRDefault="009A68A8">
            <w:pPr>
              <w:pStyle w:val="Default"/>
              <w:spacing w:after="60"/>
              <w:rPr>
                <w:sz w:val="20"/>
                <w:szCs w:val="20"/>
              </w:rPr>
            </w:pPr>
            <w:r w:rsidRPr="009A68A8">
              <w:rPr>
                <w:sz w:val="20"/>
                <w:szCs w:val="20"/>
              </w:rPr>
              <w:t>Significant increase in resources required to manage applications</w:t>
            </w:r>
          </w:p>
        </w:tc>
      </w:tr>
      <w:tr w:rsidR="009A68A8" w:rsidRPr="009A68A8" w:rsidTr="009A68A8">
        <w:trPr>
          <w:trHeight w:val="244"/>
        </w:trPr>
        <w:tc>
          <w:tcPr>
            <w:tcW w:w="4928" w:type="dxa"/>
          </w:tcPr>
          <w:p w:rsidR="00F31C8E" w:rsidRDefault="009A68A8">
            <w:pPr>
              <w:pStyle w:val="Default"/>
              <w:spacing w:after="60"/>
              <w:rPr>
                <w:sz w:val="20"/>
                <w:szCs w:val="20"/>
              </w:rPr>
            </w:pPr>
            <w:r w:rsidRPr="009A68A8">
              <w:rPr>
                <w:sz w:val="20"/>
                <w:szCs w:val="20"/>
              </w:rPr>
              <w:t xml:space="preserve">Reduces risk of fraudulent documents </w:t>
            </w:r>
          </w:p>
        </w:tc>
        <w:tc>
          <w:tcPr>
            <w:tcW w:w="4819" w:type="dxa"/>
          </w:tcPr>
          <w:p w:rsidR="00F31C8E" w:rsidRDefault="009A68A8">
            <w:pPr>
              <w:pStyle w:val="Default"/>
              <w:spacing w:after="60"/>
              <w:rPr>
                <w:sz w:val="20"/>
                <w:szCs w:val="20"/>
              </w:rPr>
            </w:pPr>
            <w:r w:rsidRPr="009A68A8">
              <w:rPr>
                <w:sz w:val="20"/>
                <w:szCs w:val="20"/>
              </w:rPr>
              <w:t xml:space="preserve">The National Law is not binding on overseas jurisdictions in relation to spent convictions and release of information </w:t>
            </w:r>
          </w:p>
        </w:tc>
      </w:tr>
      <w:tr w:rsidR="009A68A8" w:rsidRPr="009A68A8" w:rsidTr="009A68A8">
        <w:trPr>
          <w:trHeight w:val="244"/>
        </w:trPr>
        <w:tc>
          <w:tcPr>
            <w:tcW w:w="4928" w:type="dxa"/>
          </w:tcPr>
          <w:p w:rsidR="00F31C8E" w:rsidRDefault="009A68A8">
            <w:pPr>
              <w:pStyle w:val="Default"/>
              <w:spacing w:after="60"/>
              <w:rPr>
                <w:sz w:val="20"/>
                <w:szCs w:val="20"/>
              </w:rPr>
            </w:pPr>
            <w:r w:rsidRPr="009A68A8">
              <w:rPr>
                <w:sz w:val="20"/>
                <w:szCs w:val="20"/>
              </w:rPr>
              <w:t>Provides additional assurance to verify declaration from applicant</w:t>
            </w:r>
          </w:p>
        </w:tc>
        <w:tc>
          <w:tcPr>
            <w:tcW w:w="4819" w:type="dxa"/>
          </w:tcPr>
          <w:p w:rsidR="00F31C8E" w:rsidRDefault="009A68A8">
            <w:pPr>
              <w:pStyle w:val="Default"/>
              <w:spacing w:after="60"/>
              <w:rPr>
                <w:sz w:val="20"/>
                <w:szCs w:val="20"/>
              </w:rPr>
            </w:pPr>
            <w:r w:rsidRPr="009A68A8">
              <w:rPr>
                <w:sz w:val="20"/>
                <w:szCs w:val="20"/>
              </w:rPr>
              <w:t>Poor or no liaison relationship with some jurisdictions, which may result in extended delays or failure to gain the necessary documentation</w:t>
            </w:r>
          </w:p>
        </w:tc>
      </w:tr>
      <w:tr w:rsidR="009A68A8" w:rsidRPr="009A68A8" w:rsidTr="009A68A8">
        <w:trPr>
          <w:trHeight w:val="366"/>
        </w:trPr>
        <w:tc>
          <w:tcPr>
            <w:tcW w:w="4928" w:type="dxa"/>
          </w:tcPr>
          <w:p w:rsidR="00F31C8E" w:rsidRDefault="00F31C8E">
            <w:pPr>
              <w:pStyle w:val="Default"/>
              <w:spacing w:after="60"/>
              <w:rPr>
                <w:sz w:val="20"/>
                <w:szCs w:val="20"/>
              </w:rPr>
            </w:pPr>
          </w:p>
        </w:tc>
        <w:tc>
          <w:tcPr>
            <w:tcW w:w="4819" w:type="dxa"/>
          </w:tcPr>
          <w:p w:rsidR="00F31C8E" w:rsidRDefault="009A68A8">
            <w:pPr>
              <w:pStyle w:val="Default"/>
              <w:spacing w:after="60"/>
              <w:rPr>
                <w:sz w:val="20"/>
                <w:szCs w:val="20"/>
              </w:rPr>
            </w:pPr>
            <w:r w:rsidRPr="009A68A8">
              <w:rPr>
                <w:sz w:val="20"/>
                <w:szCs w:val="20"/>
              </w:rPr>
              <w:t xml:space="preserve">Likely to lead to significant time delays in assessing applications for registration, beyond AHPRA’s control  </w:t>
            </w:r>
          </w:p>
        </w:tc>
      </w:tr>
    </w:tbl>
    <w:p w:rsidR="00CE3708" w:rsidRDefault="00CE3708" w:rsidP="009A68A8">
      <w:pPr>
        <w:pStyle w:val="AHPRAsubheadinglevel20"/>
      </w:pPr>
      <w:bookmarkStart w:id="12" w:name="_Toc320239884"/>
    </w:p>
    <w:p w:rsidR="009A68A8" w:rsidRPr="009A68A8" w:rsidRDefault="009A68A8" w:rsidP="009A68A8">
      <w:pPr>
        <w:pStyle w:val="AHPRAsubheadinglevel20"/>
      </w:pPr>
      <w:r w:rsidRPr="009A68A8">
        <w:t>Option 4:</w:t>
      </w:r>
      <w:r w:rsidR="00CE3708">
        <w:t xml:space="preserve"> </w:t>
      </w:r>
      <w:r w:rsidRPr="009A68A8">
        <w:t>Applicant makes declaration and AHPRA undertakes random sample audit</w:t>
      </w:r>
      <w:bookmarkEnd w:id="12"/>
      <w:r w:rsidRPr="009A68A8">
        <w:t xml:space="preserve"> </w:t>
      </w:r>
    </w:p>
    <w:p w:rsidR="00F31C8E" w:rsidRDefault="00350127">
      <w:pPr>
        <w:keepNext/>
        <w:spacing w:before="120" w:after="240"/>
        <w:rPr>
          <w:rFonts w:ascii="Arial" w:hAnsi="Arial" w:cs="Arial"/>
          <w:sz w:val="20"/>
          <w:szCs w:val="20"/>
        </w:rPr>
      </w:pPr>
      <w:r w:rsidRPr="00350127">
        <w:rPr>
          <w:rFonts w:ascii="Arial" w:hAnsi="Arial" w:cs="Arial"/>
          <w:bCs/>
          <w:sz w:val="20"/>
          <w:szCs w:val="20"/>
        </w:rPr>
        <w:t>This option requires internationally qualified applicants to make declarations on their registration applications, and AHPRA to undertake random audits</w:t>
      </w:r>
      <w:r w:rsidRPr="00350127">
        <w:rPr>
          <w:rFonts w:ascii="Arial" w:hAnsi="Arial" w:cs="Arial"/>
          <w:sz w:val="20"/>
          <w:szCs w:val="20"/>
        </w:rPr>
        <w:t xml:space="preserve">, with clear and </w:t>
      </w:r>
      <w:proofErr w:type="spellStart"/>
      <w:r w:rsidRPr="00350127">
        <w:rPr>
          <w:rFonts w:ascii="Arial" w:hAnsi="Arial" w:cs="Arial"/>
          <w:sz w:val="20"/>
          <w:szCs w:val="20"/>
        </w:rPr>
        <w:t>publicised</w:t>
      </w:r>
      <w:proofErr w:type="spellEnd"/>
      <w:r w:rsidRPr="00350127">
        <w:rPr>
          <w:rFonts w:ascii="Arial" w:hAnsi="Arial" w:cs="Arial"/>
          <w:sz w:val="20"/>
          <w:szCs w:val="20"/>
        </w:rPr>
        <w:t xml:space="preserve"> deterrent consequences.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819"/>
      </w:tblGrid>
      <w:tr w:rsidR="009A68A8" w:rsidRPr="009A68A8" w:rsidTr="00295B33">
        <w:trPr>
          <w:cantSplit/>
          <w:trHeight w:val="244"/>
          <w:tblHeader/>
        </w:trPr>
        <w:tc>
          <w:tcPr>
            <w:tcW w:w="4928" w:type="dxa"/>
            <w:tcBorders>
              <w:top w:val="single" w:sz="4" w:space="0" w:color="auto"/>
              <w:left w:val="single" w:sz="4" w:space="0" w:color="auto"/>
              <w:bottom w:val="single" w:sz="4" w:space="0" w:color="auto"/>
              <w:right w:val="single" w:sz="4" w:space="0" w:color="auto"/>
            </w:tcBorders>
          </w:tcPr>
          <w:p w:rsidR="00F31C8E" w:rsidRDefault="009A68A8">
            <w:pPr>
              <w:pStyle w:val="Default"/>
              <w:tabs>
                <w:tab w:val="center" w:pos="4153"/>
                <w:tab w:val="right" w:pos="8306"/>
              </w:tabs>
              <w:spacing w:after="60"/>
              <w:rPr>
                <w:i/>
                <w:color w:val="008EC4"/>
                <w:sz w:val="20"/>
                <w:szCs w:val="20"/>
              </w:rPr>
            </w:pPr>
            <w:r w:rsidRPr="009A68A8">
              <w:rPr>
                <w:i/>
                <w:color w:val="008EC4"/>
                <w:sz w:val="20"/>
                <w:szCs w:val="20"/>
              </w:rPr>
              <w:t>Benefits of Option 4</w:t>
            </w:r>
          </w:p>
        </w:tc>
        <w:tc>
          <w:tcPr>
            <w:tcW w:w="4819" w:type="dxa"/>
            <w:tcBorders>
              <w:top w:val="single" w:sz="4" w:space="0" w:color="auto"/>
              <w:left w:val="single" w:sz="4" w:space="0" w:color="auto"/>
              <w:bottom w:val="single" w:sz="4" w:space="0" w:color="auto"/>
              <w:right w:val="single" w:sz="4" w:space="0" w:color="auto"/>
            </w:tcBorders>
          </w:tcPr>
          <w:p w:rsidR="00F31C8E" w:rsidRDefault="009A68A8">
            <w:pPr>
              <w:pStyle w:val="Default"/>
              <w:tabs>
                <w:tab w:val="center" w:pos="4153"/>
                <w:tab w:val="right" w:pos="8306"/>
              </w:tabs>
              <w:spacing w:after="60"/>
              <w:rPr>
                <w:i/>
                <w:color w:val="008EC4"/>
                <w:sz w:val="20"/>
                <w:szCs w:val="20"/>
              </w:rPr>
            </w:pPr>
            <w:r w:rsidRPr="009A68A8">
              <w:rPr>
                <w:i/>
                <w:color w:val="008EC4"/>
                <w:sz w:val="20"/>
                <w:szCs w:val="20"/>
              </w:rPr>
              <w:t>Risks</w:t>
            </w:r>
          </w:p>
        </w:tc>
      </w:tr>
      <w:tr w:rsidR="009A68A8" w:rsidRPr="009A68A8" w:rsidTr="00295B33">
        <w:trPr>
          <w:trHeight w:val="244"/>
        </w:trPr>
        <w:tc>
          <w:tcPr>
            <w:tcW w:w="4928" w:type="dxa"/>
          </w:tcPr>
          <w:p w:rsidR="00F31C8E" w:rsidRDefault="009A68A8">
            <w:pPr>
              <w:pStyle w:val="Default"/>
              <w:spacing w:after="60"/>
              <w:rPr>
                <w:sz w:val="20"/>
                <w:szCs w:val="20"/>
              </w:rPr>
            </w:pPr>
            <w:r w:rsidRPr="009A68A8">
              <w:rPr>
                <w:sz w:val="20"/>
                <w:szCs w:val="20"/>
              </w:rPr>
              <w:t>No delays at the time of assessing applications</w:t>
            </w:r>
          </w:p>
        </w:tc>
        <w:tc>
          <w:tcPr>
            <w:tcW w:w="4819" w:type="dxa"/>
          </w:tcPr>
          <w:p w:rsidR="00F31C8E" w:rsidRDefault="009A68A8">
            <w:pPr>
              <w:pStyle w:val="Default"/>
              <w:spacing w:after="60"/>
              <w:rPr>
                <w:sz w:val="20"/>
                <w:szCs w:val="20"/>
              </w:rPr>
            </w:pPr>
            <w:r w:rsidRPr="009A68A8">
              <w:rPr>
                <w:sz w:val="20"/>
                <w:szCs w:val="20"/>
              </w:rPr>
              <w:t>Need to determine from what time period/locality criminal history information will be required/sought, such as for the last 10 years to be consistent with some Boards’ requirements for Certificates of Registration Status (as is the case for the Medical Board of Australia for limited registration)</w:t>
            </w:r>
          </w:p>
        </w:tc>
      </w:tr>
      <w:tr w:rsidR="009A68A8" w:rsidRPr="009A68A8" w:rsidTr="00295B33">
        <w:trPr>
          <w:trHeight w:val="119"/>
        </w:trPr>
        <w:tc>
          <w:tcPr>
            <w:tcW w:w="4928" w:type="dxa"/>
          </w:tcPr>
          <w:p w:rsidR="00F31C8E" w:rsidRDefault="009A68A8">
            <w:pPr>
              <w:pStyle w:val="Default"/>
              <w:spacing w:after="60"/>
              <w:rPr>
                <w:sz w:val="20"/>
                <w:szCs w:val="20"/>
              </w:rPr>
            </w:pPr>
            <w:r w:rsidRPr="009A68A8">
              <w:rPr>
                <w:sz w:val="20"/>
                <w:szCs w:val="20"/>
              </w:rPr>
              <w:t xml:space="preserve">Less resource implications compared with option three </w:t>
            </w:r>
          </w:p>
        </w:tc>
        <w:tc>
          <w:tcPr>
            <w:tcW w:w="4819" w:type="dxa"/>
          </w:tcPr>
          <w:p w:rsidR="00F31C8E" w:rsidRDefault="009A68A8">
            <w:pPr>
              <w:pStyle w:val="Default"/>
              <w:spacing w:after="60"/>
              <w:rPr>
                <w:sz w:val="20"/>
                <w:szCs w:val="20"/>
              </w:rPr>
            </w:pPr>
            <w:r w:rsidRPr="009A68A8">
              <w:rPr>
                <w:sz w:val="20"/>
                <w:szCs w:val="20"/>
              </w:rPr>
              <w:t xml:space="preserve">Additional resources required to undertake audit process </w:t>
            </w:r>
          </w:p>
        </w:tc>
      </w:tr>
      <w:tr w:rsidR="009A68A8" w:rsidRPr="009A68A8" w:rsidTr="00295B33">
        <w:trPr>
          <w:trHeight w:val="119"/>
        </w:trPr>
        <w:tc>
          <w:tcPr>
            <w:tcW w:w="4928" w:type="dxa"/>
          </w:tcPr>
          <w:p w:rsidR="00F31C8E" w:rsidRDefault="009A68A8">
            <w:pPr>
              <w:pStyle w:val="Default"/>
              <w:spacing w:after="60"/>
              <w:rPr>
                <w:sz w:val="20"/>
                <w:szCs w:val="20"/>
              </w:rPr>
            </w:pPr>
            <w:r w:rsidRPr="009A68A8">
              <w:rPr>
                <w:sz w:val="20"/>
                <w:szCs w:val="20"/>
              </w:rPr>
              <w:t xml:space="preserve">Reduces risk of fraudulent declarations from applicant </w:t>
            </w:r>
          </w:p>
        </w:tc>
        <w:tc>
          <w:tcPr>
            <w:tcW w:w="4819" w:type="dxa"/>
          </w:tcPr>
          <w:p w:rsidR="00F31C8E" w:rsidRDefault="009A68A8">
            <w:pPr>
              <w:pStyle w:val="Default"/>
              <w:spacing w:after="60"/>
              <w:rPr>
                <w:sz w:val="20"/>
                <w:szCs w:val="20"/>
              </w:rPr>
            </w:pPr>
            <w:r w:rsidRPr="009A68A8">
              <w:rPr>
                <w:sz w:val="20"/>
                <w:szCs w:val="20"/>
              </w:rPr>
              <w:t>Effectiveness of audit process will depend on the liaison relationships AHPRA establishes with organisations issuing Criminal Clearance Certificates (CCC) and subject matter expertise within AHPRA about CCC contacts in different countries, which would need to be developed</w:t>
            </w:r>
          </w:p>
        </w:tc>
      </w:tr>
      <w:tr w:rsidR="009A68A8" w:rsidRPr="009A68A8" w:rsidTr="00295B33">
        <w:trPr>
          <w:trHeight w:val="119"/>
        </w:trPr>
        <w:tc>
          <w:tcPr>
            <w:tcW w:w="4928" w:type="dxa"/>
          </w:tcPr>
          <w:p w:rsidR="00F31C8E" w:rsidRDefault="009A68A8">
            <w:pPr>
              <w:pStyle w:val="Default"/>
              <w:spacing w:after="60"/>
              <w:rPr>
                <w:sz w:val="20"/>
                <w:szCs w:val="20"/>
              </w:rPr>
            </w:pPr>
            <w:r w:rsidRPr="009A68A8">
              <w:rPr>
                <w:sz w:val="20"/>
                <w:szCs w:val="20"/>
              </w:rPr>
              <w:t>Provides additional assurance to verify applicants’ declarations</w:t>
            </w:r>
          </w:p>
        </w:tc>
        <w:tc>
          <w:tcPr>
            <w:tcW w:w="4819" w:type="dxa"/>
          </w:tcPr>
          <w:p w:rsidR="00F31C8E" w:rsidRDefault="009A68A8">
            <w:pPr>
              <w:pStyle w:val="Default"/>
              <w:spacing w:after="60"/>
              <w:rPr>
                <w:sz w:val="20"/>
                <w:szCs w:val="20"/>
              </w:rPr>
            </w:pPr>
            <w:r w:rsidRPr="009A68A8">
              <w:rPr>
                <w:sz w:val="20"/>
                <w:szCs w:val="20"/>
              </w:rPr>
              <w:t>The National Law is not binding on overseas jurisdictions in relation to spent convictions and release of information</w:t>
            </w:r>
          </w:p>
        </w:tc>
      </w:tr>
    </w:tbl>
    <w:p w:rsidR="00F31C8E" w:rsidRDefault="009A68A8">
      <w:pPr>
        <w:pStyle w:val="AHPRASubhead"/>
        <w:spacing w:before="360"/>
        <w:rPr>
          <w:rFonts w:cs="Arial"/>
          <w:szCs w:val="20"/>
        </w:rPr>
      </w:pPr>
      <w:bookmarkStart w:id="13" w:name="_Toc320239885"/>
      <w:r w:rsidRPr="009A68A8">
        <w:rPr>
          <w:rFonts w:cs="Arial"/>
          <w:szCs w:val="20"/>
        </w:rPr>
        <w:t>The options – where to from here?</w:t>
      </w:r>
      <w:bookmarkEnd w:id="13"/>
      <w:r w:rsidRPr="009A68A8">
        <w:rPr>
          <w:rFonts w:cs="Arial"/>
          <w:szCs w:val="20"/>
        </w:rPr>
        <w:t xml:space="preserve"> </w:t>
      </w:r>
    </w:p>
    <w:p w:rsidR="009A68A8" w:rsidRPr="009A68A8" w:rsidRDefault="00350127" w:rsidP="009A68A8">
      <w:pPr>
        <w:rPr>
          <w:rFonts w:ascii="Arial" w:hAnsi="Arial" w:cs="Arial"/>
          <w:sz w:val="20"/>
          <w:szCs w:val="20"/>
        </w:rPr>
      </w:pPr>
      <w:r w:rsidRPr="00350127">
        <w:rPr>
          <w:rFonts w:ascii="Arial" w:hAnsi="Arial" w:cs="Arial"/>
          <w:sz w:val="20"/>
          <w:szCs w:val="20"/>
        </w:rPr>
        <w:t xml:space="preserve">Option 1 is to maintain the status quo. In light of the above information, Option 3 may not be viable. </w:t>
      </w:r>
    </w:p>
    <w:p w:rsidR="009A68A8" w:rsidRPr="009A68A8" w:rsidRDefault="00350127" w:rsidP="009A68A8">
      <w:pPr>
        <w:rPr>
          <w:rFonts w:ascii="Arial" w:hAnsi="Arial" w:cs="Arial"/>
          <w:sz w:val="20"/>
          <w:szCs w:val="20"/>
        </w:rPr>
      </w:pPr>
      <w:r w:rsidRPr="00350127">
        <w:rPr>
          <w:rFonts w:ascii="Arial" w:hAnsi="Arial" w:cs="Arial"/>
          <w:sz w:val="20"/>
          <w:szCs w:val="20"/>
        </w:rPr>
        <w:t>Therefore, the two most likely options to manage international criminal history checking are:</w:t>
      </w:r>
    </w:p>
    <w:p w:rsidR="00F31C8E" w:rsidRDefault="009A68A8">
      <w:pPr>
        <w:pStyle w:val="AHPRABulletlevel1"/>
        <w:spacing w:before="120"/>
      </w:pPr>
      <w:r w:rsidRPr="009A68A8">
        <w:t>Option 2 - requires all internationally qualified applicants to provide criminal clearance certificates with their application, or</w:t>
      </w:r>
    </w:p>
    <w:p w:rsidR="00F31C8E" w:rsidRDefault="009A68A8">
      <w:pPr>
        <w:pStyle w:val="AHPRABulletlevel1"/>
        <w:spacing w:before="120"/>
      </w:pPr>
      <w:r w:rsidRPr="009A68A8">
        <w:t xml:space="preserve">Option 4 - relies on applicant declarations supported by a well </w:t>
      </w:r>
      <w:proofErr w:type="spellStart"/>
      <w:r w:rsidRPr="009A68A8">
        <w:t>publicised</w:t>
      </w:r>
      <w:proofErr w:type="spellEnd"/>
      <w:r w:rsidRPr="009A68A8">
        <w:t xml:space="preserve"> and targeted audit to assure compliance.</w:t>
      </w:r>
    </w:p>
    <w:p w:rsidR="009A68A8" w:rsidRPr="009A68A8" w:rsidRDefault="00350127" w:rsidP="009A68A8">
      <w:pPr>
        <w:spacing w:before="240"/>
        <w:rPr>
          <w:rFonts w:ascii="Arial" w:hAnsi="Arial" w:cs="Arial"/>
          <w:sz w:val="20"/>
          <w:szCs w:val="20"/>
        </w:rPr>
      </w:pPr>
      <w:r w:rsidRPr="00350127">
        <w:rPr>
          <w:rFonts w:ascii="Arial" w:hAnsi="Arial" w:cs="Arial"/>
          <w:sz w:val="20"/>
          <w:szCs w:val="20"/>
        </w:rPr>
        <w:t xml:space="preserve">Option 2 is likely to be more expensive and time consuming for both applicants and AHPRA. It may significantly add to the time required to become registered. This may be difficult to justify in light of the very small numbers likely to have an international criminal history. However, there is an argument that requiring </w:t>
      </w:r>
      <w:r w:rsidR="00F741AC" w:rsidRPr="00F741AC">
        <w:rPr>
          <w:rFonts w:ascii="Arial" w:hAnsi="Arial" w:cs="Arial"/>
          <w:sz w:val="20"/>
          <w:szCs w:val="20"/>
        </w:rPr>
        <w:t xml:space="preserve">Criminal Clearance Certificates </w:t>
      </w:r>
      <w:r w:rsidR="00295B33">
        <w:rPr>
          <w:rFonts w:ascii="Arial" w:hAnsi="Arial" w:cs="Arial"/>
          <w:sz w:val="20"/>
          <w:szCs w:val="20"/>
        </w:rPr>
        <w:t>(</w:t>
      </w:r>
      <w:r w:rsidRPr="00350127">
        <w:rPr>
          <w:rFonts w:ascii="Arial" w:hAnsi="Arial" w:cs="Arial"/>
          <w:sz w:val="20"/>
          <w:szCs w:val="20"/>
        </w:rPr>
        <w:t>CCCs</w:t>
      </w:r>
      <w:r w:rsidR="00295B33">
        <w:rPr>
          <w:rFonts w:ascii="Arial" w:hAnsi="Arial" w:cs="Arial"/>
          <w:sz w:val="20"/>
          <w:szCs w:val="20"/>
        </w:rPr>
        <w:t>)</w:t>
      </w:r>
      <w:r w:rsidRPr="00350127">
        <w:rPr>
          <w:rFonts w:ascii="Arial" w:hAnsi="Arial" w:cs="Arial"/>
          <w:sz w:val="20"/>
          <w:szCs w:val="20"/>
        </w:rPr>
        <w:t xml:space="preserve"> </w:t>
      </w:r>
      <w:bookmarkStart w:id="14" w:name="_GoBack"/>
      <w:bookmarkEnd w:id="14"/>
      <w:r w:rsidRPr="00350127">
        <w:rPr>
          <w:rFonts w:ascii="Arial" w:hAnsi="Arial" w:cs="Arial"/>
          <w:sz w:val="20"/>
          <w:szCs w:val="20"/>
        </w:rPr>
        <w:t>with applications is in itself a deterrent for those who have a criminal history.</w:t>
      </w:r>
    </w:p>
    <w:p w:rsidR="009A68A8" w:rsidRPr="009A68A8" w:rsidRDefault="00350127" w:rsidP="009A68A8">
      <w:pPr>
        <w:rPr>
          <w:rFonts w:ascii="Arial" w:hAnsi="Arial" w:cs="Arial"/>
          <w:sz w:val="20"/>
          <w:szCs w:val="20"/>
        </w:rPr>
      </w:pPr>
      <w:r w:rsidRPr="00350127">
        <w:rPr>
          <w:rFonts w:ascii="Arial" w:hAnsi="Arial" w:cs="Arial"/>
          <w:sz w:val="20"/>
          <w:szCs w:val="20"/>
        </w:rPr>
        <w:t xml:space="preserve">Option 4 uses the mechanism of a targeted audit to assure compliance with the declaration approach and recognises the minimal risk of registering an applicant with a significant criminal history. It also recognises that requiring CCCs with applications cannot extinguish the risk of registering an applicant with a criminal history given rehabilitation of </w:t>
      </w:r>
      <w:proofErr w:type="gramStart"/>
      <w:r w:rsidRPr="00350127">
        <w:rPr>
          <w:rFonts w:ascii="Arial" w:hAnsi="Arial" w:cs="Arial"/>
          <w:sz w:val="20"/>
          <w:szCs w:val="20"/>
        </w:rPr>
        <w:t>offenders</w:t>
      </w:r>
      <w:proofErr w:type="gramEnd"/>
      <w:r w:rsidRPr="00350127">
        <w:rPr>
          <w:rFonts w:ascii="Arial" w:hAnsi="Arial" w:cs="Arial"/>
          <w:sz w:val="20"/>
          <w:szCs w:val="20"/>
        </w:rPr>
        <w:t xml:space="preserve"> legislation in source countries. It is likely to be less expensive and time-consuming than option one. </w:t>
      </w:r>
    </w:p>
    <w:p w:rsidR="009A68A8" w:rsidRPr="009A68A8" w:rsidRDefault="00350127" w:rsidP="009A68A8">
      <w:pPr>
        <w:rPr>
          <w:rFonts w:ascii="Arial" w:hAnsi="Arial" w:cs="Arial"/>
          <w:sz w:val="20"/>
          <w:szCs w:val="20"/>
        </w:rPr>
      </w:pPr>
      <w:r w:rsidRPr="00350127">
        <w:rPr>
          <w:rFonts w:ascii="Arial" w:hAnsi="Arial" w:cs="Arial"/>
          <w:sz w:val="20"/>
          <w:szCs w:val="20"/>
        </w:rPr>
        <w:t>Work will be required to implement whichever option National Boards ultimately decide to adopt, including making necessary administrative changes and establishing a communication strategy for international applicants. The communication strategy will include:</w:t>
      </w:r>
    </w:p>
    <w:p w:rsidR="00F31C8E" w:rsidRDefault="009A68A8">
      <w:pPr>
        <w:pStyle w:val="AHPRABulletlevel1"/>
        <w:spacing w:before="120"/>
      </w:pPr>
      <w:r w:rsidRPr="009A68A8">
        <w:t>clarification of requirements for applicants with dual nationality</w:t>
      </w:r>
    </w:p>
    <w:p w:rsidR="00F31C8E" w:rsidRDefault="009A68A8">
      <w:pPr>
        <w:pStyle w:val="AHPRABulletlevel1"/>
        <w:spacing w:before="120"/>
      </w:pPr>
      <w:r w:rsidRPr="009A68A8">
        <w:t xml:space="preserve">the relationship between criminal history checking and each Board’s criminal history registration standard, which the Board will apply </w:t>
      </w:r>
      <w:r w:rsidR="00295B33">
        <w:t>when</w:t>
      </w:r>
      <w:r w:rsidR="00295B33" w:rsidRPr="009A68A8">
        <w:t xml:space="preserve"> </w:t>
      </w:r>
      <w:r w:rsidRPr="009A68A8">
        <w:t>a practitioner has a criminal history, and</w:t>
      </w:r>
    </w:p>
    <w:p w:rsidR="00F31C8E" w:rsidRDefault="009A68A8">
      <w:pPr>
        <w:pStyle w:val="AHPRABulletlevel1"/>
        <w:spacing w:before="120"/>
      </w:pPr>
      <w:proofErr w:type="gramStart"/>
      <w:r w:rsidRPr="009A68A8">
        <w:t>the</w:t>
      </w:r>
      <w:proofErr w:type="gramEnd"/>
      <w:r w:rsidRPr="009A68A8">
        <w:t xml:space="preserve"> scope of international criminal history checks, and coverage of international tribunals such as war crimes tribunals.</w:t>
      </w:r>
    </w:p>
    <w:p w:rsidR="00A85B28" w:rsidRDefault="00A85B28" w:rsidP="00350127">
      <w:pPr>
        <w:pStyle w:val="AHPRASubhead"/>
        <w:rPr>
          <w:rFonts w:cs="Arial"/>
          <w:sz w:val="24"/>
        </w:rPr>
      </w:pPr>
    </w:p>
    <w:p w:rsidR="00193665" w:rsidRDefault="00193665">
      <w:pPr>
        <w:spacing w:after="0"/>
        <w:rPr>
          <w:rFonts w:ascii="Arial" w:hAnsi="Arial" w:cs="Arial"/>
          <w:b/>
          <w:color w:val="008EC4"/>
        </w:rPr>
      </w:pPr>
      <w:r>
        <w:rPr>
          <w:rFonts w:cs="Arial"/>
        </w:rPr>
        <w:br w:type="page"/>
      </w:r>
    </w:p>
    <w:p w:rsidR="00F31C8E" w:rsidRDefault="00350127" w:rsidP="000C2524">
      <w:pPr>
        <w:pStyle w:val="AHPRADocumentsubheading"/>
        <w:spacing w:after="480"/>
      </w:pPr>
      <w:bookmarkStart w:id="15" w:name="_Toc355556955"/>
      <w:r w:rsidRPr="00350127">
        <w:t>Attachment two</w:t>
      </w:r>
      <w:bookmarkEnd w:id="15"/>
      <w:r w:rsidR="009850B4">
        <w:t xml:space="preserve"> </w:t>
      </w:r>
    </w:p>
    <w:p w:rsidR="00350127" w:rsidRPr="00350127" w:rsidRDefault="00A85B28" w:rsidP="00EF2257">
      <w:pPr>
        <w:pStyle w:val="AHPRASubhead"/>
        <w:spacing w:afterLines="200"/>
        <w:rPr>
          <w:rFonts w:cs="Arial"/>
          <w:sz w:val="24"/>
        </w:rPr>
      </w:pPr>
      <w:r>
        <w:rPr>
          <w:rFonts w:cs="Arial"/>
          <w:sz w:val="24"/>
        </w:rPr>
        <w:t xml:space="preserve">Examples of </w:t>
      </w:r>
      <w:r w:rsidR="00350127" w:rsidRPr="00350127">
        <w:rPr>
          <w:rFonts w:cs="Arial"/>
          <w:sz w:val="24"/>
        </w:rPr>
        <w:t>countries with spent convictions legislation</w:t>
      </w:r>
    </w:p>
    <w:p w:rsidR="00B515F6" w:rsidRPr="003F510E" w:rsidRDefault="00B515F6" w:rsidP="00B515F6">
      <w:pPr>
        <w:pStyle w:val="AHPRASubheadinglevel2"/>
        <w:spacing w:before="0" w:after="0"/>
        <w:rPr>
          <w:rFonts w:cs="Arial"/>
          <w:b w:val="0"/>
          <w:szCs w:val="20"/>
        </w:rPr>
      </w:pPr>
      <w:r w:rsidRPr="003F510E">
        <w:rPr>
          <w:rFonts w:cs="Arial"/>
          <w:b w:val="0"/>
          <w:i/>
          <w:szCs w:val="20"/>
        </w:rPr>
        <w:t>Germany</w:t>
      </w:r>
      <w:r w:rsidRPr="003F510E">
        <w:rPr>
          <w:rFonts w:cs="Arial"/>
          <w:b w:val="0"/>
          <w:szCs w:val="20"/>
        </w:rPr>
        <w:t xml:space="preserve"> - information will not be provided on offences where:</w:t>
      </w:r>
    </w:p>
    <w:p w:rsidR="00B515F6" w:rsidRPr="003F510E" w:rsidRDefault="00B515F6" w:rsidP="008F59C0">
      <w:pPr>
        <w:pStyle w:val="AHPRABulletlevel1"/>
        <w:rPr>
          <w:b/>
        </w:rPr>
      </w:pPr>
      <w:r w:rsidRPr="003F510E">
        <w:t>there was no conviction</w:t>
      </w:r>
    </w:p>
    <w:p w:rsidR="00B515F6" w:rsidRPr="003F510E" w:rsidRDefault="00B515F6" w:rsidP="008F59C0">
      <w:pPr>
        <w:pStyle w:val="AHPRABulletlevel1"/>
      </w:pPr>
      <w:r w:rsidRPr="003F510E">
        <w:t>an individual was under the age of 21</w:t>
      </w:r>
    </w:p>
    <w:p w:rsidR="00B515F6" w:rsidRPr="003F510E" w:rsidRDefault="00B515F6" w:rsidP="008F59C0">
      <w:pPr>
        <w:pStyle w:val="AHPRABulletlevel1"/>
      </w:pPr>
      <w:r w:rsidRPr="003F510E">
        <w:t xml:space="preserve">it has been </w:t>
      </w:r>
      <w:r w:rsidR="00295B33">
        <w:t>five</w:t>
      </w:r>
      <w:r w:rsidR="00295B33" w:rsidRPr="003F510E">
        <w:t xml:space="preserve"> </w:t>
      </w:r>
      <w:r w:rsidRPr="003F510E">
        <w:t>years since the offence took place</w:t>
      </w:r>
    </w:p>
    <w:p w:rsidR="00B515F6" w:rsidRPr="003F510E" w:rsidRDefault="00B515F6" w:rsidP="008F59C0">
      <w:pPr>
        <w:pStyle w:val="AHPRABulletlevel1"/>
      </w:pPr>
      <w:r w:rsidRPr="003F510E">
        <w:t xml:space="preserve">convictions resulting in imprisonment that do not exceed </w:t>
      </w:r>
      <w:r w:rsidR="00295B33">
        <w:t>two</w:t>
      </w:r>
      <w:r w:rsidR="00295B33" w:rsidRPr="003F510E">
        <w:t xml:space="preserve"> </w:t>
      </w:r>
      <w:r w:rsidRPr="003F510E">
        <w:t>years and where a provisional discharge has been approved, and</w:t>
      </w:r>
    </w:p>
    <w:p w:rsidR="00B515F6" w:rsidRPr="003F510E" w:rsidRDefault="00B515F6" w:rsidP="008F59C0">
      <w:pPr>
        <w:pStyle w:val="AHPRABulletlevel1"/>
      </w:pPr>
      <w:proofErr w:type="gramStart"/>
      <w:r w:rsidRPr="003F510E">
        <w:t>convictions</w:t>
      </w:r>
      <w:proofErr w:type="gramEnd"/>
      <w:r w:rsidRPr="003F510E">
        <w:t xml:space="preserve"> resulting in imprisonment do not exceed </w:t>
      </w:r>
      <w:r w:rsidR="00295B33">
        <w:t>three</w:t>
      </w:r>
      <w:r w:rsidR="00295B33" w:rsidRPr="003F510E">
        <w:t xml:space="preserve"> </w:t>
      </w:r>
      <w:r w:rsidRPr="003F510E">
        <w:t>months.</w:t>
      </w:r>
    </w:p>
    <w:p w:rsidR="00B515F6" w:rsidRPr="003F510E" w:rsidRDefault="00B515F6" w:rsidP="00B515F6">
      <w:pPr>
        <w:spacing w:after="0"/>
        <w:rPr>
          <w:rFonts w:ascii="Arial" w:hAnsi="Arial" w:cs="Arial"/>
          <w:sz w:val="20"/>
          <w:szCs w:val="20"/>
        </w:rPr>
      </w:pPr>
    </w:p>
    <w:p w:rsidR="00B515F6" w:rsidRPr="003F510E" w:rsidRDefault="00B515F6" w:rsidP="00B515F6">
      <w:pPr>
        <w:spacing w:after="0"/>
        <w:rPr>
          <w:rFonts w:ascii="Arial" w:hAnsi="Arial" w:cs="Arial"/>
          <w:sz w:val="20"/>
          <w:szCs w:val="20"/>
        </w:rPr>
      </w:pPr>
      <w:r w:rsidRPr="003F510E">
        <w:rPr>
          <w:rFonts w:ascii="Arial" w:hAnsi="Arial" w:cs="Arial"/>
          <w:i/>
          <w:sz w:val="20"/>
          <w:szCs w:val="20"/>
        </w:rPr>
        <w:t>New Zealand</w:t>
      </w:r>
      <w:r w:rsidRPr="003F510E">
        <w:rPr>
          <w:rFonts w:ascii="Arial" w:hAnsi="Arial" w:cs="Arial"/>
          <w:sz w:val="20"/>
          <w:szCs w:val="20"/>
        </w:rPr>
        <w:t xml:space="preserve"> - the </w:t>
      </w:r>
      <w:r w:rsidRPr="003F510E">
        <w:rPr>
          <w:rFonts w:ascii="Arial" w:hAnsi="Arial" w:cs="Arial"/>
          <w:i/>
          <w:sz w:val="20"/>
          <w:szCs w:val="20"/>
        </w:rPr>
        <w:t>Criminal Records (Clean Slate) Act, 2004</w:t>
      </w:r>
      <w:r w:rsidRPr="003F510E">
        <w:rPr>
          <w:rFonts w:ascii="Arial" w:hAnsi="Arial" w:cs="Arial"/>
          <w:sz w:val="20"/>
          <w:szCs w:val="20"/>
        </w:rPr>
        <w:t xml:space="preserve"> states that information will not be provided where:</w:t>
      </w:r>
    </w:p>
    <w:p w:rsidR="00B515F6" w:rsidRPr="003F510E" w:rsidRDefault="00B515F6" w:rsidP="008F59C0">
      <w:pPr>
        <w:pStyle w:val="AHPRABulletlevel1"/>
      </w:pPr>
      <w:r w:rsidRPr="003F510E">
        <w:t xml:space="preserve">it has been </w:t>
      </w:r>
      <w:r w:rsidR="00295B33">
        <w:t>seven</w:t>
      </w:r>
      <w:r w:rsidR="00295B33" w:rsidRPr="003F510E">
        <w:t xml:space="preserve"> </w:t>
      </w:r>
      <w:r w:rsidRPr="003F510E">
        <w:t>years since the offence took place</w:t>
      </w:r>
    </w:p>
    <w:p w:rsidR="00B515F6" w:rsidRPr="003F510E" w:rsidRDefault="00B515F6" w:rsidP="008F59C0">
      <w:pPr>
        <w:pStyle w:val="AHPRABulletlevel1"/>
      </w:pPr>
      <w:r w:rsidRPr="003F510E">
        <w:t>an individual has never been sentenced to imprisonment, corrective training or any other custodial sentence</w:t>
      </w:r>
    </w:p>
    <w:p w:rsidR="00B515F6" w:rsidRPr="003F510E" w:rsidRDefault="00B515F6" w:rsidP="008F59C0">
      <w:pPr>
        <w:pStyle w:val="AHPRABulletlevel1"/>
      </w:pPr>
      <w:r w:rsidRPr="003F510E">
        <w:t>an individual has never been ordered by court to be detained in a hospital for a mental condition instead of being sentenced in a criminal case</w:t>
      </w:r>
    </w:p>
    <w:p w:rsidR="00B515F6" w:rsidRPr="003F510E" w:rsidRDefault="00B515F6" w:rsidP="008F59C0">
      <w:pPr>
        <w:pStyle w:val="AHPRABulletlevel1"/>
      </w:pPr>
      <w:r w:rsidRPr="003F510E">
        <w:t xml:space="preserve">an individual has never been convicted of a </w:t>
      </w:r>
      <w:r w:rsidR="00295B33">
        <w:t>‘</w:t>
      </w:r>
      <w:r w:rsidRPr="003F510E">
        <w:t>specified offense</w:t>
      </w:r>
      <w:r w:rsidR="00295B33">
        <w:t>’</w:t>
      </w:r>
      <w:r w:rsidRPr="003F510E">
        <w:t xml:space="preserve"> (sexual offenses against children, mentally impaired etc.), and</w:t>
      </w:r>
    </w:p>
    <w:p w:rsidR="00B515F6" w:rsidRPr="003F510E" w:rsidRDefault="00B515F6" w:rsidP="008F59C0">
      <w:pPr>
        <w:pStyle w:val="AHPRABulletlevel1last"/>
      </w:pPr>
      <w:proofErr w:type="gramStart"/>
      <w:r w:rsidRPr="003F510E">
        <w:t>an</w:t>
      </w:r>
      <w:proofErr w:type="gramEnd"/>
      <w:r w:rsidRPr="003F510E">
        <w:t xml:space="preserve"> individual has never been disqualified indefinitely from driving under s65 </w:t>
      </w:r>
      <w:r w:rsidRPr="003F510E">
        <w:rPr>
          <w:i/>
        </w:rPr>
        <w:t>Land Transportation Act 1998.</w:t>
      </w:r>
    </w:p>
    <w:p w:rsidR="00B515F6" w:rsidRPr="003F510E" w:rsidRDefault="00F741AC" w:rsidP="00B515F6">
      <w:pPr>
        <w:spacing w:after="0"/>
        <w:rPr>
          <w:rFonts w:ascii="Arial" w:hAnsi="Arial" w:cs="Arial"/>
          <w:sz w:val="20"/>
          <w:szCs w:val="20"/>
        </w:rPr>
      </w:pPr>
      <w:r w:rsidRPr="00F741AC">
        <w:rPr>
          <w:rFonts w:ascii="Arial" w:hAnsi="Arial" w:cs="Arial"/>
          <w:i/>
          <w:sz w:val="20"/>
          <w:szCs w:val="20"/>
        </w:rPr>
        <w:t>United Kingdom</w:t>
      </w:r>
      <w:r w:rsidR="00B515F6" w:rsidRPr="003F510E">
        <w:rPr>
          <w:rFonts w:ascii="Arial" w:hAnsi="Arial" w:cs="Arial"/>
          <w:sz w:val="20"/>
          <w:szCs w:val="20"/>
        </w:rPr>
        <w:t xml:space="preserve"> - the </w:t>
      </w:r>
      <w:r w:rsidR="00B515F6" w:rsidRPr="003F510E">
        <w:rPr>
          <w:rFonts w:ascii="Arial" w:hAnsi="Arial" w:cs="Arial"/>
          <w:i/>
          <w:sz w:val="20"/>
          <w:szCs w:val="20"/>
        </w:rPr>
        <w:t>Rehabilitation of Offenders Act 1974</w:t>
      </w:r>
      <w:r w:rsidR="00B515F6" w:rsidRPr="003F510E">
        <w:rPr>
          <w:rFonts w:ascii="Arial" w:hAnsi="Arial" w:cs="Arial"/>
          <w:sz w:val="20"/>
          <w:szCs w:val="20"/>
        </w:rPr>
        <w:t xml:space="preserve"> applies to England, Scotland and Wales and provides for: </w:t>
      </w:r>
    </w:p>
    <w:p w:rsidR="00B515F6" w:rsidRPr="003F510E" w:rsidRDefault="00B515F6" w:rsidP="008F59C0">
      <w:pPr>
        <w:pStyle w:val="AHPRABulletlevel1"/>
      </w:pPr>
      <w:r w:rsidRPr="003F510E">
        <w:t xml:space="preserve">certain convictions to become </w:t>
      </w:r>
      <w:r w:rsidR="00295B33">
        <w:t>’</w:t>
      </w:r>
      <w:r w:rsidRPr="003F510E">
        <w:t>spent</w:t>
      </w:r>
      <w:r w:rsidR="00295B33">
        <w:t>’</w:t>
      </w:r>
      <w:r w:rsidRPr="003F510E">
        <w:t xml:space="preserve"> if the sentence involved 30 months of imprisonment or</w:t>
      </w:r>
    </w:p>
    <w:p w:rsidR="00B515F6" w:rsidRPr="003F510E" w:rsidRDefault="00B515F6" w:rsidP="00B515F6">
      <w:pPr>
        <w:autoSpaceDE w:val="0"/>
        <w:autoSpaceDN w:val="0"/>
        <w:adjustRightInd w:val="0"/>
        <w:spacing w:after="0"/>
        <w:rPr>
          <w:rFonts w:ascii="Arial" w:hAnsi="Arial" w:cs="Arial"/>
          <w:sz w:val="20"/>
          <w:szCs w:val="20"/>
        </w:rPr>
      </w:pPr>
      <w:r w:rsidRPr="003F510E">
        <w:rPr>
          <w:rFonts w:ascii="Arial" w:hAnsi="Arial" w:cs="Arial"/>
          <w:sz w:val="20"/>
          <w:szCs w:val="20"/>
        </w:rPr>
        <w:tab/>
      </w:r>
      <w:proofErr w:type="gramStart"/>
      <w:r w:rsidRPr="003F510E">
        <w:rPr>
          <w:rFonts w:ascii="Arial" w:hAnsi="Arial" w:cs="Arial"/>
          <w:sz w:val="20"/>
          <w:szCs w:val="20"/>
        </w:rPr>
        <w:t>less</w:t>
      </w:r>
      <w:proofErr w:type="gramEnd"/>
      <w:r w:rsidRPr="003F510E">
        <w:rPr>
          <w:rFonts w:ascii="Arial" w:hAnsi="Arial" w:cs="Arial"/>
          <w:sz w:val="20"/>
          <w:szCs w:val="20"/>
        </w:rPr>
        <w:t xml:space="preserve"> and the rehabilitation period was completed successfully, and </w:t>
      </w:r>
    </w:p>
    <w:p w:rsidR="00B515F6" w:rsidRPr="003F510E" w:rsidRDefault="00B515F6" w:rsidP="008F59C0">
      <w:pPr>
        <w:pStyle w:val="AHPRABulletlevel1"/>
      </w:pPr>
      <w:proofErr w:type="gramStart"/>
      <w:r w:rsidRPr="003F510E">
        <w:t>any</w:t>
      </w:r>
      <w:proofErr w:type="gramEnd"/>
      <w:r w:rsidRPr="003F510E">
        <w:t xml:space="preserve"> adult or youth conditional caution to be spent after </w:t>
      </w:r>
      <w:r w:rsidR="00295B33">
        <w:t>three</w:t>
      </w:r>
      <w:r w:rsidR="00295B33" w:rsidRPr="003F510E">
        <w:t xml:space="preserve"> </w:t>
      </w:r>
      <w:r w:rsidRPr="003F510E">
        <w:t xml:space="preserve">months has passed and that final warnings, simple cautions and reprimands become spent immediately. </w:t>
      </w:r>
    </w:p>
    <w:p w:rsidR="00B515F6" w:rsidRPr="003F510E" w:rsidRDefault="00B515F6" w:rsidP="00B515F6">
      <w:pPr>
        <w:autoSpaceDE w:val="0"/>
        <w:autoSpaceDN w:val="0"/>
        <w:adjustRightInd w:val="0"/>
        <w:spacing w:after="0"/>
        <w:rPr>
          <w:rFonts w:ascii="Arial" w:hAnsi="Arial" w:cs="Arial"/>
          <w:sz w:val="20"/>
          <w:szCs w:val="20"/>
        </w:rPr>
      </w:pPr>
    </w:p>
    <w:p w:rsidR="00B515F6" w:rsidRPr="003F510E" w:rsidRDefault="00B515F6" w:rsidP="00B515F6">
      <w:pPr>
        <w:autoSpaceDE w:val="0"/>
        <w:autoSpaceDN w:val="0"/>
        <w:adjustRightInd w:val="0"/>
        <w:spacing w:after="0"/>
        <w:rPr>
          <w:rFonts w:ascii="Arial" w:hAnsi="Arial" w:cs="Arial"/>
          <w:sz w:val="20"/>
          <w:szCs w:val="20"/>
        </w:rPr>
      </w:pPr>
      <w:r w:rsidRPr="003F510E">
        <w:rPr>
          <w:rFonts w:ascii="Arial" w:hAnsi="Arial" w:cs="Arial"/>
          <w:i/>
          <w:sz w:val="20"/>
          <w:szCs w:val="20"/>
        </w:rPr>
        <w:t xml:space="preserve">Spain - </w:t>
      </w:r>
      <w:r w:rsidR="00F741AC" w:rsidRPr="00F741AC">
        <w:rPr>
          <w:rFonts w:ascii="Arial" w:hAnsi="Arial" w:cs="Arial"/>
          <w:sz w:val="20"/>
          <w:szCs w:val="20"/>
        </w:rPr>
        <w:t>a</w:t>
      </w:r>
      <w:r w:rsidRPr="003F510E">
        <w:rPr>
          <w:rFonts w:ascii="Arial" w:hAnsi="Arial" w:cs="Arial"/>
          <w:sz w:val="20"/>
          <w:szCs w:val="20"/>
        </w:rPr>
        <w:t xml:space="preserve">n offence is considered spent where it has been </w:t>
      </w:r>
      <w:r w:rsidR="00295B33">
        <w:rPr>
          <w:rFonts w:ascii="Arial" w:hAnsi="Arial" w:cs="Arial"/>
          <w:sz w:val="20"/>
          <w:szCs w:val="20"/>
        </w:rPr>
        <w:t>five</w:t>
      </w:r>
      <w:r w:rsidR="00295B33" w:rsidRPr="003F510E">
        <w:rPr>
          <w:rFonts w:ascii="Arial" w:hAnsi="Arial" w:cs="Arial"/>
          <w:sz w:val="20"/>
          <w:szCs w:val="20"/>
        </w:rPr>
        <w:t xml:space="preserve"> </w:t>
      </w:r>
      <w:r w:rsidRPr="003F510E">
        <w:rPr>
          <w:rFonts w:ascii="Arial" w:hAnsi="Arial" w:cs="Arial"/>
          <w:sz w:val="20"/>
          <w:szCs w:val="20"/>
        </w:rPr>
        <w:t>years since a sentence has been served.</w:t>
      </w:r>
    </w:p>
    <w:p w:rsidR="00DA774E" w:rsidRPr="00DE4C79" w:rsidRDefault="00DA774E" w:rsidP="00E73698">
      <w:pPr>
        <w:pStyle w:val="AHPRAbodytext"/>
      </w:pPr>
    </w:p>
    <w:sectPr w:rsidR="00DA774E" w:rsidRPr="00DE4C79" w:rsidSect="00B942A8">
      <w:footerReference w:type="first" r:id="rId16"/>
      <w:pgSz w:w="11900" w:h="16840"/>
      <w:pgMar w:top="1533" w:right="1268" w:bottom="1418" w:left="1134" w:header="283" w:footer="32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D9" w:rsidRDefault="00AE36D9" w:rsidP="00FC2881">
      <w:pPr>
        <w:spacing w:after="0"/>
      </w:pPr>
      <w:r>
        <w:separator/>
      </w:r>
    </w:p>
  </w:endnote>
  <w:endnote w:type="continuationSeparator" w:id="0">
    <w:p w:rsidR="00AE36D9" w:rsidRDefault="00AE36D9"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9" w:rsidRDefault="007F1B0B" w:rsidP="00FC2881">
    <w:pPr>
      <w:pStyle w:val="AHPRAfootnote"/>
      <w:framePr w:wrap="around" w:vAnchor="text" w:hAnchor="margin" w:xAlign="right" w:y="1"/>
    </w:pPr>
    <w:r>
      <w:fldChar w:fldCharType="begin"/>
    </w:r>
    <w:r w:rsidR="00AE36D9">
      <w:instrText xml:space="preserve">PAGE  </w:instrText>
    </w:r>
    <w:r>
      <w:fldChar w:fldCharType="end"/>
    </w:r>
  </w:p>
  <w:p w:rsidR="00AE36D9" w:rsidRDefault="00AE36D9" w:rsidP="00FC2881">
    <w:pPr>
      <w:pStyle w:val="AHPRAfootnote"/>
      <w:ind w:right="360"/>
    </w:pPr>
  </w:p>
  <w:p w:rsidR="00AE36D9" w:rsidRDefault="00AE36D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9" w:rsidRPr="000E42EA" w:rsidRDefault="007F1B0B" w:rsidP="003074C6">
    <w:pPr>
      <w:pStyle w:val="AHPRASubheadinglevel3"/>
      <w:spacing w:after="0"/>
      <w:jc w:val="right"/>
      <w:rPr>
        <w:i w:val="0"/>
        <w:sz w:val="18"/>
      </w:rPr>
    </w:pPr>
    <w:r w:rsidRPr="000E42EA">
      <w:rPr>
        <w:sz w:val="18"/>
      </w:rPr>
      <w:fldChar w:fldCharType="begin"/>
    </w:r>
    <w:r w:rsidR="00AE36D9" w:rsidRPr="000E42EA">
      <w:rPr>
        <w:sz w:val="18"/>
      </w:rPr>
      <w:instrText xml:space="preserve"> PAGE </w:instrText>
    </w:r>
    <w:r w:rsidRPr="000E42EA">
      <w:rPr>
        <w:sz w:val="18"/>
      </w:rPr>
      <w:fldChar w:fldCharType="separate"/>
    </w:r>
    <w:r w:rsidR="00EF2257">
      <w:rPr>
        <w:noProof/>
        <w:sz w:val="18"/>
      </w:rPr>
      <w:t>12</w:t>
    </w:r>
    <w:r w:rsidRPr="000E42EA">
      <w:rPr>
        <w:sz w:val="18"/>
      </w:rPr>
      <w:fldChar w:fldCharType="end"/>
    </w:r>
    <w:r w:rsidR="00AE36D9" w:rsidRPr="000E42EA">
      <w:rPr>
        <w:sz w:val="18"/>
      </w:rPr>
      <w:t xml:space="preserve"> of </w:t>
    </w:r>
    <w:r w:rsidRPr="000E42EA">
      <w:rPr>
        <w:sz w:val="18"/>
      </w:rPr>
      <w:fldChar w:fldCharType="begin"/>
    </w:r>
    <w:r w:rsidR="00AE36D9" w:rsidRPr="000E42EA">
      <w:rPr>
        <w:sz w:val="18"/>
      </w:rPr>
      <w:instrText xml:space="preserve"> NUMPAGES  </w:instrText>
    </w:r>
    <w:r w:rsidRPr="000E42EA">
      <w:rPr>
        <w:sz w:val="18"/>
      </w:rPr>
      <w:fldChar w:fldCharType="separate"/>
    </w:r>
    <w:r w:rsidR="00EF2257">
      <w:rPr>
        <w:noProof/>
        <w:sz w:val="18"/>
      </w:rPr>
      <w:t>12</w:t>
    </w:r>
    <w:r w:rsidRPr="000E42EA">
      <w:rPr>
        <w:sz w:val="18"/>
      </w:rPr>
      <w:fldChar w:fldCharType="end"/>
    </w:r>
  </w:p>
  <w:p w:rsidR="00AE36D9" w:rsidRPr="00DB22F8" w:rsidRDefault="00AE36D9" w:rsidP="003074C6">
    <w:pPr>
      <w:pStyle w:val="AHPRASubheadinglevel3"/>
      <w:spacing w:before="0"/>
      <w:rPr>
        <w:i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9" w:rsidRPr="000E42EA" w:rsidRDefault="00AE36D9" w:rsidP="000E42EA">
    <w:pPr>
      <w:pStyle w:val="AHPRAfirstpagefooter"/>
      <w:spacing w:line="360" w:lineRule="auto"/>
    </w:pPr>
    <w:r>
      <w:t>Consultation on International Criminal History Checks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9" w:rsidRDefault="00AE36D9" w:rsidP="009259AD">
    <w:pPr>
      <w:pStyle w:val="AHPRAfirstpagefooter"/>
      <w:spacing w:line="360" w:lineRule="auto"/>
    </w:pPr>
  </w:p>
  <w:p w:rsidR="00AE36D9" w:rsidRPr="009259AD" w:rsidRDefault="00AE36D9" w:rsidP="009259AD">
    <w:pPr>
      <w:pStyle w:val="AHPRAfirstpagefooter"/>
      <w:spacing w:line="360" w:lineRule="auto"/>
    </w:pPr>
    <w:r>
      <w:t>Consultation on International Criminal History Checks</w:t>
    </w:r>
    <w:r>
      <w:tab/>
    </w:r>
    <w:r>
      <w:tab/>
    </w:r>
    <w:r>
      <w:tab/>
    </w:r>
    <w:r>
      <w:tab/>
    </w:r>
    <w:r>
      <w:tab/>
    </w:r>
    <w:r w:rsidR="007F1B0B" w:rsidRPr="009259AD">
      <w:rPr>
        <w:b w:val="0"/>
        <w:i/>
        <w:color w:val="00B0F0"/>
      </w:rPr>
      <w:fldChar w:fldCharType="begin"/>
    </w:r>
    <w:r w:rsidRPr="009259AD">
      <w:rPr>
        <w:b w:val="0"/>
        <w:i/>
        <w:color w:val="00B0F0"/>
      </w:rPr>
      <w:instrText xml:space="preserve"> PAGE </w:instrText>
    </w:r>
    <w:r w:rsidR="007F1B0B" w:rsidRPr="009259AD">
      <w:rPr>
        <w:b w:val="0"/>
        <w:i/>
        <w:color w:val="00B0F0"/>
      </w:rPr>
      <w:fldChar w:fldCharType="separate"/>
    </w:r>
    <w:r w:rsidR="00EF2257">
      <w:rPr>
        <w:b w:val="0"/>
        <w:i/>
        <w:noProof/>
        <w:color w:val="00B0F0"/>
      </w:rPr>
      <w:t>3</w:t>
    </w:r>
    <w:r w:rsidR="007F1B0B" w:rsidRPr="009259AD">
      <w:rPr>
        <w:b w:val="0"/>
        <w:i/>
        <w:color w:val="00B0F0"/>
      </w:rPr>
      <w:fldChar w:fldCharType="end"/>
    </w:r>
    <w:r w:rsidRPr="009259AD">
      <w:rPr>
        <w:b w:val="0"/>
        <w:i/>
        <w:color w:val="00B0F0"/>
      </w:rPr>
      <w:t xml:space="preserve"> of </w:t>
    </w:r>
    <w:r w:rsidR="007F1B0B" w:rsidRPr="009259AD">
      <w:rPr>
        <w:b w:val="0"/>
        <w:i/>
        <w:color w:val="00B0F0"/>
      </w:rPr>
      <w:fldChar w:fldCharType="begin"/>
    </w:r>
    <w:r w:rsidRPr="009259AD">
      <w:rPr>
        <w:b w:val="0"/>
        <w:i/>
        <w:color w:val="00B0F0"/>
      </w:rPr>
      <w:instrText xml:space="preserve"> NUMPAGES  </w:instrText>
    </w:r>
    <w:r w:rsidR="007F1B0B" w:rsidRPr="009259AD">
      <w:rPr>
        <w:b w:val="0"/>
        <w:i/>
        <w:color w:val="00B0F0"/>
      </w:rPr>
      <w:fldChar w:fldCharType="separate"/>
    </w:r>
    <w:r w:rsidR="00EF2257">
      <w:rPr>
        <w:b w:val="0"/>
        <w:i/>
        <w:noProof/>
        <w:color w:val="00B0F0"/>
      </w:rPr>
      <w:t>3</w:t>
    </w:r>
    <w:r w:rsidR="007F1B0B" w:rsidRPr="009259AD">
      <w:rPr>
        <w:b w:val="0"/>
        <w:i/>
        <w:color w:val="00B0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D9" w:rsidRDefault="00AE36D9" w:rsidP="00FC2881">
      <w:pPr>
        <w:spacing w:after="0"/>
      </w:pPr>
      <w:r>
        <w:separator/>
      </w:r>
    </w:p>
  </w:footnote>
  <w:footnote w:type="continuationSeparator" w:id="0">
    <w:p w:rsidR="00AE36D9" w:rsidRDefault="00AE36D9" w:rsidP="00FC2881">
      <w:pPr>
        <w:spacing w:after="0"/>
      </w:pPr>
      <w:r>
        <w:continuationSeparator/>
      </w:r>
    </w:p>
  </w:footnote>
  <w:footnote w:id="1">
    <w:p w:rsidR="00AE36D9" w:rsidRPr="001768D2" w:rsidRDefault="00E4175E" w:rsidP="00E4175E">
      <w:pPr>
        <w:widowControl w:val="0"/>
        <w:autoSpaceDE w:val="0"/>
        <w:autoSpaceDN w:val="0"/>
        <w:adjustRightInd w:val="0"/>
        <w:spacing w:after="0"/>
      </w:pPr>
      <w:r w:rsidRPr="00E4175E">
        <w:rPr>
          <w:rStyle w:val="FootnoteReference"/>
          <w:rFonts w:ascii="Arial" w:hAnsi="Arial" w:cs="Arial"/>
          <w:sz w:val="18"/>
          <w:szCs w:val="18"/>
        </w:rPr>
        <w:footnoteRef/>
      </w:r>
      <w:r w:rsidRPr="00E4175E">
        <w:rPr>
          <w:rFonts w:ascii="Arial" w:hAnsi="Arial" w:cs="Arial"/>
          <w:sz w:val="18"/>
          <w:szCs w:val="18"/>
        </w:rPr>
        <w:t xml:space="preserve"> </w:t>
      </w:r>
      <w:r w:rsidRPr="00E4175E">
        <w:rPr>
          <w:rFonts w:ascii="Arial" w:hAnsi="Arial" w:cs="Helvetica"/>
          <w:sz w:val="18"/>
          <w:szCs w:val="28"/>
        </w:rPr>
        <w:t xml:space="preserve">You are welcome to supply a PDF file of your feedback in addition to the Word (or equivalent) </w:t>
      </w:r>
      <w:proofErr w:type="gramStart"/>
      <w:r w:rsidRPr="00E4175E">
        <w:rPr>
          <w:rFonts w:ascii="Arial" w:hAnsi="Arial" w:cs="Helvetica"/>
          <w:sz w:val="18"/>
          <w:szCs w:val="28"/>
        </w:rPr>
        <w:t>file,</w:t>
      </w:r>
      <w:proofErr w:type="gramEnd"/>
      <w:r w:rsidRPr="00E4175E">
        <w:rPr>
          <w:rFonts w:ascii="Arial" w:hAnsi="Arial" w:cs="Helvetica"/>
          <w:sz w:val="18"/>
          <w:szCs w:val="28"/>
        </w:rPr>
        <w:t xml:space="preserve"> however we request that you do supply a text or Word file. As part of an effort to meet international website accessibility guidelines, AHPRA and National Boards are striving to publish documents in accessible formats (such as Word), in addition to PDFs. More information about this is available on the </w:t>
      </w:r>
      <w:hyperlink r:id="rId1" w:history="1">
        <w:r w:rsidRPr="00E4175E">
          <w:rPr>
            <w:rStyle w:val="Hyperlink"/>
            <w:rFonts w:ascii="Arial" w:hAnsi="Arial" w:cs="Helvetica"/>
            <w:color w:val="auto"/>
            <w:sz w:val="18"/>
            <w:szCs w:val="28"/>
          </w:rPr>
          <w:t>AHPRA website</w:t>
        </w:r>
      </w:hyperlink>
      <w:r w:rsidRPr="00E4175E">
        <w:rPr>
          <w:rFonts w:ascii="Arial" w:hAnsi="Arial" w:cs="Helvetica"/>
          <w:sz w:val="18"/>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9" w:rsidRDefault="007F1B0B">
    <w:pPr>
      <w:pStyle w:val="Header"/>
    </w:pPr>
    <w:r w:rsidRPr="007F1B0B">
      <w:rPr>
        <w:noProof/>
        <w:lang w:val="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73.6pt;height:189.4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9" w:rsidRPr="00315933" w:rsidRDefault="00AE36D9" w:rsidP="00D638E0">
    <w:pPr>
      <w:ind w:left="-1134" w:right="-567"/>
      <w:jc w:val="right"/>
    </w:pPr>
  </w:p>
  <w:p w:rsidR="00AE36D9" w:rsidRDefault="00AE36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D9" w:rsidRPr="006A4CEB" w:rsidRDefault="00AE36D9" w:rsidP="003074C6">
    <w:pPr>
      <w:rPr>
        <w:rFonts w:ascii="Arial" w:hAnsi="Arial" w:cs="Arial"/>
        <w:sz w:val="20"/>
        <w:szCs w:val="20"/>
      </w:rPr>
    </w:pPr>
    <w:r>
      <w:rPr>
        <w:rFonts w:ascii="Arial" w:hAnsi="Arial" w:cs="Arial"/>
        <w:noProof/>
        <w:sz w:val="20"/>
        <w:szCs w:val="20"/>
      </w:rPr>
      <w:drawing>
        <wp:anchor distT="0" distB="0" distL="114300" distR="114300" simplePos="0" relativeHeight="251657216" behindDoc="0" locked="0" layoutInCell="1" allowOverlap="1">
          <wp:simplePos x="0" y="0"/>
          <wp:positionH relativeFrom="page">
            <wp:posOffset>3552825</wp:posOffset>
          </wp:positionH>
          <wp:positionV relativeFrom="page">
            <wp:posOffset>144145</wp:posOffset>
          </wp:positionV>
          <wp:extent cx="3295650" cy="1371600"/>
          <wp:effectExtent l="19050" t="0" r="0" b="0"/>
          <wp:wrapSquare wrapText="bothSides"/>
          <wp:docPr id="8"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295650" cy="1371600"/>
                  </a:xfrm>
                  <a:prstGeom prst="rect">
                    <a:avLst/>
                  </a:prstGeom>
                </pic:spPr>
              </pic:pic>
            </a:graphicData>
          </a:graphic>
        </wp:anchor>
      </w:drawing>
    </w:r>
  </w:p>
  <w:p w:rsidR="00AE36D9" w:rsidRDefault="00AE36D9" w:rsidP="003074C6"/>
  <w:p w:rsidR="00AE36D9" w:rsidRDefault="00AE36D9" w:rsidP="003074C6"/>
  <w:p w:rsidR="00AE36D9" w:rsidRDefault="00AE36D9" w:rsidP="003074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C6A4A"/>
    <w:multiLevelType w:val="hybridMultilevel"/>
    <w:tmpl w:val="10641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16955"/>
    <w:multiLevelType w:val="hybridMultilevel"/>
    <w:tmpl w:val="B26A2990"/>
    <w:lvl w:ilvl="0" w:tplc="F9AE13C4">
      <w:start w:val="1"/>
      <w:numFmt w:val="bullet"/>
      <w:lvlText w:val=""/>
      <w:lvlJc w:val="left"/>
      <w:pPr>
        <w:ind w:left="1004" w:hanging="360"/>
      </w:pPr>
      <w:rPr>
        <w:rFonts w:ascii="Symbol" w:hAnsi="Symbol" w:hint="default"/>
      </w:rPr>
    </w:lvl>
    <w:lvl w:ilvl="1" w:tplc="B6BAAF56">
      <w:numFmt w:val="bullet"/>
      <w:lvlText w:val="•"/>
      <w:lvlJc w:val="left"/>
      <w:pPr>
        <w:ind w:left="1724" w:hanging="360"/>
      </w:pPr>
      <w:rPr>
        <w:rFonts w:ascii="Arial" w:eastAsia="Cambria" w:hAnsi="Arial" w:cs="Arial" w:hint="default"/>
      </w:rPr>
    </w:lvl>
    <w:lvl w:ilvl="2" w:tplc="262A733A" w:tentative="1">
      <w:start w:val="1"/>
      <w:numFmt w:val="bullet"/>
      <w:lvlText w:val=""/>
      <w:lvlJc w:val="left"/>
      <w:pPr>
        <w:ind w:left="2444" w:hanging="360"/>
      </w:pPr>
      <w:rPr>
        <w:rFonts w:ascii="Wingdings" w:hAnsi="Wingdings" w:hint="default"/>
      </w:rPr>
    </w:lvl>
    <w:lvl w:ilvl="3" w:tplc="F0382716" w:tentative="1">
      <w:start w:val="1"/>
      <w:numFmt w:val="bullet"/>
      <w:lvlText w:val=""/>
      <w:lvlJc w:val="left"/>
      <w:pPr>
        <w:ind w:left="3164" w:hanging="360"/>
      </w:pPr>
      <w:rPr>
        <w:rFonts w:ascii="Symbol" w:hAnsi="Symbol" w:hint="default"/>
      </w:rPr>
    </w:lvl>
    <w:lvl w:ilvl="4" w:tplc="BD8AEE4E" w:tentative="1">
      <w:start w:val="1"/>
      <w:numFmt w:val="bullet"/>
      <w:lvlText w:val="o"/>
      <w:lvlJc w:val="left"/>
      <w:pPr>
        <w:ind w:left="3884" w:hanging="360"/>
      </w:pPr>
      <w:rPr>
        <w:rFonts w:ascii="Courier New" w:hAnsi="Courier New" w:cs="Courier New" w:hint="default"/>
      </w:rPr>
    </w:lvl>
    <w:lvl w:ilvl="5" w:tplc="B92ECF22" w:tentative="1">
      <w:start w:val="1"/>
      <w:numFmt w:val="bullet"/>
      <w:lvlText w:val=""/>
      <w:lvlJc w:val="left"/>
      <w:pPr>
        <w:ind w:left="4604" w:hanging="360"/>
      </w:pPr>
      <w:rPr>
        <w:rFonts w:ascii="Wingdings" w:hAnsi="Wingdings" w:hint="default"/>
      </w:rPr>
    </w:lvl>
    <w:lvl w:ilvl="6" w:tplc="DE2A85D6" w:tentative="1">
      <w:start w:val="1"/>
      <w:numFmt w:val="bullet"/>
      <w:lvlText w:val=""/>
      <w:lvlJc w:val="left"/>
      <w:pPr>
        <w:ind w:left="5324" w:hanging="360"/>
      </w:pPr>
      <w:rPr>
        <w:rFonts w:ascii="Symbol" w:hAnsi="Symbol" w:hint="default"/>
      </w:rPr>
    </w:lvl>
    <w:lvl w:ilvl="7" w:tplc="E3B8B082" w:tentative="1">
      <w:start w:val="1"/>
      <w:numFmt w:val="bullet"/>
      <w:lvlText w:val="o"/>
      <w:lvlJc w:val="left"/>
      <w:pPr>
        <w:ind w:left="6044" w:hanging="360"/>
      </w:pPr>
      <w:rPr>
        <w:rFonts w:ascii="Courier New" w:hAnsi="Courier New" w:cs="Courier New" w:hint="default"/>
      </w:rPr>
    </w:lvl>
    <w:lvl w:ilvl="8" w:tplc="1F4297C4" w:tentative="1">
      <w:start w:val="1"/>
      <w:numFmt w:val="bullet"/>
      <w:lvlText w:val=""/>
      <w:lvlJc w:val="left"/>
      <w:pPr>
        <w:ind w:left="6764" w:hanging="360"/>
      </w:pPr>
      <w:rPr>
        <w:rFonts w:ascii="Wingdings" w:hAnsi="Wingdings" w:hint="default"/>
      </w:rPr>
    </w:lvl>
  </w:abstractNum>
  <w:abstractNum w:abstractNumId="7">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8">
    <w:nsid w:val="0B090A83"/>
    <w:multiLevelType w:val="hybridMultilevel"/>
    <w:tmpl w:val="DDEEA7B0"/>
    <w:lvl w:ilvl="0" w:tplc="EEEA3574">
      <w:start w:val="1"/>
      <w:numFmt w:val="lowerLetter"/>
      <w:lvlText w:val="%1."/>
      <w:lvlJc w:val="left"/>
      <w:pPr>
        <w:ind w:left="720" w:hanging="360"/>
      </w:pPr>
    </w:lvl>
    <w:lvl w:ilvl="1" w:tplc="15B07BCA" w:tentative="1">
      <w:start w:val="1"/>
      <w:numFmt w:val="lowerLetter"/>
      <w:lvlText w:val="%2."/>
      <w:lvlJc w:val="left"/>
      <w:pPr>
        <w:ind w:left="1440" w:hanging="360"/>
      </w:pPr>
    </w:lvl>
    <w:lvl w:ilvl="2" w:tplc="7A4E6CDE" w:tentative="1">
      <w:start w:val="1"/>
      <w:numFmt w:val="lowerRoman"/>
      <w:lvlText w:val="%3."/>
      <w:lvlJc w:val="right"/>
      <w:pPr>
        <w:ind w:left="2160" w:hanging="180"/>
      </w:pPr>
    </w:lvl>
    <w:lvl w:ilvl="3" w:tplc="EB9EC09C" w:tentative="1">
      <w:start w:val="1"/>
      <w:numFmt w:val="decimal"/>
      <w:lvlText w:val="%4."/>
      <w:lvlJc w:val="left"/>
      <w:pPr>
        <w:ind w:left="2880" w:hanging="360"/>
      </w:pPr>
    </w:lvl>
    <w:lvl w:ilvl="4" w:tplc="C734A780" w:tentative="1">
      <w:start w:val="1"/>
      <w:numFmt w:val="lowerLetter"/>
      <w:lvlText w:val="%5."/>
      <w:lvlJc w:val="left"/>
      <w:pPr>
        <w:ind w:left="3600" w:hanging="360"/>
      </w:pPr>
    </w:lvl>
    <w:lvl w:ilvl="5" w:tplc="499403C2" w:tentative="1">
      <w:start w:val="1"/>
      <w:numFmt w:val="lowerRoman"/>
      <w:lvlText w:val="%6."/>
      <w:lvlJc w:val="right"/>
      <w:pPr>
        <w:ind w:left="4320" w:hanging="180"/>
      </w:pPr>
    </w:lvl>
    <w:lvl w:ilvl="6" w:tplc="6AD4BF00" w:tentative="1">
      <w:start w:val="1"/>
      <w:numFmt w:val="decimal"/>
      <w:lvlText w:val="%7."/>
      <w:lvlJc w:val="left"/>
      <w:pPr>
        <w:ind w:left="5040" w:hanging="360"/>
      </w:pPr>
    </w:lvl>
    <w:lvl w:ilvl="7" w:tplc="F4F62626" w:tentative="1">
      <w:start w:val="1"/>
      <w:numFmt w:val="lowerLetter"/>
      <w:lvlText w:val="%8."/>
      <w:lvlJc w:val="left"/>
      <w:pPr>
        <w:ind w:left="5760" w:hanging="360"/>
      </w:pPr>
    </w:lvl>
    <w:lvl w:ilvl="8" w:tplc="EF10C742" w:tentative="1">
      <w:start w:val="1"/>
      <w:numFmt w:val="lowerRoman"/>
      <w:lvlText w:val="%9."/>
      <w:lvlJc w:val="right"/>
      <w:pPr>
        <w:ind w:left="6480" w:hanging="180"/>
      </w:pPr>
    </w:lvl>
  </w:abstractNum>
  <w:abstractNum w:abstractNumId="9">
    <w:nsid w:val="0BAB45D0"/>
    <w:multiLevelType w:val="hybridMultilevel"/>
    <w:tmpl w:val="7DA83D60"/>
    <w:lvl w:ilvl="0" w:tplc="04090019">
      <w:start w:val="1"/>
      <w:numFmt w:val="bullet"/>
      <w:lvlText w:val=""/>
      <w:lvlJc w:val="left"/>
      <w:pPr>
        <w:ind w:left="1429" w:hanging="360"/>
      </w:pPr>
      <w:rPr>
        <w:rFonts w:ascii="Symbol" w:hAnsi="Symbol" w:hint="default"/>
      </w:rPr>
    </w:lvl>
    <w:lvl w:ilvl="1" w:tplc="04090019">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0">
    <w:nsid w:val="0C037DB3"/>
    <w:multiLevelType w:val="multilevel"/>
    <w:tmpl w:val="BE20683A"/>
    <w:numStyleLink w:val="AHPRANumberedheadinglist"/>
  </w:abstractNum>
  <w:abstractNum w:abstractNumId="11">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2">
    <w:nsid w:val="0C985FC8"/>
    <w:multiLevelType w:val="hybridMultilevel"/>
    <w:tmpl w:val="88909BC8"/>
    <w:lvl w:ilvl="0" w:tplc="D3C23BE4">
      <w:start w:val="1"/>
      <w:numFmt w:val="bullet"/>
      <w:lvlText w:val=""/>
      <w:lvlJc w:val="left"/>
      <w:pPr>
        <w:ind w:left="720" w:hanging="360"/>
      </w:pPr>
      <w:rPr>
        <w:rFonts w:ascii="Symbol" w:hAnsi="Symbol" w:hint="default"/>
      </w:rPr>
    </w:lvl>
    <w:lvl w:ilvl="1" w:tplc="220A3598">
      <w:start w:val="1"/>
      <w:numFmt w:val="bullet"/>
      <w:lvlText w:val="o"/>
      <w:lvlJc w:val="left"/>
      <w:pPr>
        <w:ind w:left="1440" w:hanging="360"/>
      </w:pPr>
      <w:rPr>
        <w:rFonts w:ascii="Courier New" w:hAnsi="Courier New" w:hint="default"/>
      </w:rPr>
    </w:lvl>
    <w:lvl w:ilvl="2" w:tplc="5EF422DC" w:tentative="1">
      <w:start w:val="1"/>
      <w:numFmt w:val="bullet"/>
      <w:lvlText w:val=""/>
      <w:lvlJc w:val="left"/>
      <w:pPr>
        <w:ind w:left="2160" w:hanging="360"/>
      </w:pPr>
      <w:rPr>
        <w:rFonts w:ascii="Wingdings" w:hAnsi="Wingdings" w:hint="default"/>
      </w:rPr>
    </w:lvl>
    <w:lvl w:ilvl="3" w:tplc="B14A0A5E" w:tentative="1">
      <w:start w:val="1"/>
      <w:numFmt w:val="bullet"/>
      <w:lvlText w:val=""/>
      <w:lvlJc w:val="left"/>
      <w:pPr>
        <w:ind w:left="2880" w:hanging="360"/>
      </w:pPr>
      <w:rPr>
        <w:rFonts w:ascii="Symbol" w:hAnsi="Symbol" w:hint="default"/>
      </w:rPr>
    </w:lvl>
    <w:lvl w:ilvl="4" w:tplc="27FAF46C" w:tentative="1">
      <w:start w:val="1"/>
      <w:numFmt w:val="bullet"/>
      <w:lvlText w:val="o"/>
      <w:lvlJc w:val="left"/>
      <w:pPr>
        <w:ind w:left="3600" w:hanging="360"/>
      </w:pPr>
      <w:rPr>
        <w:rFonts w:ascii="Courier New" w:hAnsi="Courier New" w:hint="default"/>
      </w:rPr>
    </w:lvl>
    <w:lvl w:ilvl="5" w:tplc="8D12924A" w:tentative="1">
      <w:start w:val="1"/>
      <w:numFmt w:val="bullet"/>
      <w:lvlText w:val=""/>
      <w:lvlJc w:val="left"/>
      <w:pPr>
        <w:ind w:left="4320" w:hanging="360"/>
      </w:pPr>
      <w:rPr>
        <w:rFonts w:ascii="Wingdings" w:hAnsi="Wingdings" w:hint="default"/>
      </w:rPr>
    </w:lvl>
    <w:lvl w:ilvl="6" w:tplc="B4A0FE14" w:tentative="1">
      <w:start w:val="1"/>
      <w:numFmt w:val="bullet"/>
      <w:lvlText w:val=""/>
      <w:lvlJc w:val="left"/>
      <w:pPr>
        <w:ind w:left="5040" w:hanging="360"/>
      </w:pPr>
      <w:rPr>
        <w:rFonts w:ascii="Symbol" w:hAnsi="Symbol" w:hint="default"/>
      </w:rPr>
    </w:lvl>
    <w:lvl w:ilvl="7" w:tplc="CDF82576" w:tentative="1">
      <w:start w:val="1"/>
      <w:numFmt w:val="bullet"/>
      <w:lvlText w:val="o"/>
      <w:lvlJc w:val="left"/>
      <w:pPr>
        <w:ind w:left="5760" w:hanging="360"/>
      </w:pPr>
      <w:rPr>
        <w:rFonts w:ascii="Courier New" w:hAnsi="Courier New" w:hint="default"/>
      </w:rPr>
    </w:lvl>
    <w:lvl w:ilvl="8" w:tplc="6ECC28B0" w:tentative="1">
      <w:start w:val="1"/>
      <w:numFmt w:val="bullet"/>
      <w:lvlText w:val=""/>
      <w:lvlJc w:val="left"/>
      <w:pPr>
        <w:ind w:left="6480" w:hanging="360"/>
      </w:pPr>
      <w:rPr>
        <w:rFonts w:ascii="Wingdings" w:hAnsi="Wingdings" w:hint="default"/>
      </w:rPr>
    </w:lvl>
  </w:abstractNum>
  <w:abstractNum w:abstractNumId="13">
    <w:nsid w:val="0EC00544"/>
    <w:multiLevelType w:val="hybridMultilevel"/>
    <w:tmpl w:val="500892A2"/>
    <w:lvl w:ilvl="0" w:tplc="0C090001">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4">
    <w:nsid w:val="11D36D3C"/>
    <w:multiLevelType w:val="hybridMultilevel"/>
    <w:tmpl w:val="B2C60660"/>
    <w:lvl w:ilvl="0" w:tplc="20025CD8">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472D69"/>
    <w:multiLevelType w:val="hybridMultilevel"/>
    <w:tmpl w:val="C88C198C"/>
    <w:lvl w:ilvl="0" w:tplc="04090019">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203E87"/>
    <w:multiLevelType w:val="hybridMultilevel"/>
    <w:tmpl w:val="292E2AFE"/>
    <w:lvl w:ilvl="0" w:tplc="3B4C4A7C">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5767704"/>
    <w:multiLevelType w:val="hybridMultilevel"/>
    <w:tmpl w:val="AC2A4BDC"/>
    <w:lvl w:ilvl="0" w:tplc="04090019">
      <w:start w:val="1"/>
      <w:numFmt w:val="bullet"/>
      <w:lvlText w:val=""/>
      <w:lvlJc w:val="left"/>
      <w:pPr>
        <w:ind w:left="1353" w:hanging="360"/>
      </w:pPr>
      <w:rPr>
        <w:rFonts w:ascii="Symbol" w:hAnsi="Symbol" w:hint="default"/>
      </w:rPr>
    </w:lvl>
    <w:lvl w:ilvl="1" w:tplc="04090019" w:tentative="1">
      <w:start w:val="1"/>
      <w:numFmt w:val="bullet"/>
      <w:lvlText w:val="o"/>
      <w:lvlJc w:val="left"/>
      <w:pPr>
        <w:ind w:left="2073" w:hanging="360"/>
      </w:pPr>
      <w:rPr>
        <w:rFonts w:ascii="Courier New" w:hAnsi="Courier New" w:cs="Courier New" w:hint="default"/>
      </w:rPr>
    </w:lvl>
    <w:lvl w:ilvl="2" w:tplc="0409001B" w:tentative="1">
      <w:start w:val="1"/>
      <w:numFmt w:val="bullet"/>
      <w:lvlText w:val=""/>
      <w:lvlJc w:val="left"/>
      <w:pPr>
        <w:ind w:left="2793" w:hanging="360"/>
      </w:pPr>
      <w:rPr>
        <w:rFonts w:ascii="Wingdings" w:hAnsi="Wingdings" w:hint="default"/>
      </w:rPr>
    </w:lvl>
    <w:lvl w:ilvl="3" w:tplc="0409000F" w:tentative="1">
      <w:start w:val="1"/>
      <w:numFmt w:val="bullet"/>
      <w:lvlText w:val=""/>
      <w:lvlJc w:val="left"/>
      <w:pPr>
        <w:ind w:left="3513" w:hanging="360"/>
      </w:pPr>
      <w:rPr>
        <w:rFonts w:ascii="Symbol" w:hAnsi="Symbol" w:hint="default"/>
      </w:rPr>
    </w:lvl>
    <w:lvl w:ilvl="4" w:tplc="04090019" w:tentative="1">
      <w:start w:val="1"/>
      <w:numFmt w:val="bullet"/>
      <w:lvlText w:val="o"/>
      <w:lvlJc w:val="left"/>
      <w:pPr>
        <w:ind w:left="4233" w:hanging="360"/>
      </w:pPr>
      <w:rPr>
        <w:rFonts w:ascii="Courier New" w:hAnsi="Courier New" w:cs="Courier New" w:hint="default"/>
      </w:rPr>
    </w:lvl>
    <w:lvl w:ilvl="5" w:tplc="0409001B" w:tentative="1">
      <w:start w:val="1"/>
      <w:numFmt w:val="bullet"/>
      <w:lvlText w:val=""/>
      <w:lvlJc w:val="left"/>
      <w:pPr>
        <w:ind w:left="4953" w:hanging="360"/>
      </w:pPr>
      <w:rPr>
        <w:rFonts w:ascii="Wingdings" w:hAnsi="Wingdings" w:hint="default"/>
      </w:rPr>
    </w:lvl>
    <w:lvl w:ilvl="6" w:tplc="0409000F" w:tentative="1">
      <w:start w:val="1"/>
      <w:numFmt w:val="bullet"/>
      <w:lvlText w:val=""/>
      <w:lvlJc w:val="left"/>
      <w:pPr>
        <w:ind w:left="5673" w:hanging="360"/>
      </w:pPr>
      <w:rPr>
        <w:rFonts w:ascii="Symbol" w:hAnsi="Symbol" w:hint="default"/>
      </w:rPr>
    </w:lvl>
    <w:lvl w:ilvl="7" w:tplc="04090019" w:tentative="1">
      <w:start w:val="1"/>
      <w:numFmt w:val="bullet"/>
      <w:lvlText w:val="o"/>
      <w:lvlJc w:val="left"/>
      <w:pPr>
        <w:ind w:left="6393" w:hanging="360"/>
      </w:pPr>
      <w:rPr>
        <w:rFonts w:ascii="Courier New" w:hAnsi="Courier New" w:cs="Courier New" w:hint="default"/>
      </w:rPr>
    </w:lvl>
    <w:lvl w:ilvl="8" w:tplc="0409001B" w:tentative="1">
      <w:start w:val="1"/>
      <w:numFmt w:val="bullet"/>
      <w:lvlText w:val=""/>
      <w:lvlJc w:val="left"/>
      <w:pPr>
        <w:ind w:left="7113" w:hanging="360"/>
      </w:pPr>
      <w:rPr>
        <w:rFonts w:ascii="Wingdings" w:hAnsi="Wingdings" w:hint="default"/>
      </w:rPr>
    </w:lvl>
  </w:abstractNum>
  <w:abstractNum w:abstractNumId="20">
    <w:nsid w:val="158A7A29"/>
    <w:multiLevelType w:val="hybridMultilevel"/>
    <w:tmpl w:val="93F0C0F0"/>
    <w:lvl w:ilvl="0" w:tplc="0C090001">
      <w:start w:val="3"/>
      <w:numFmt w:val="lowerLetter"/>
      <w:lvlText w:val="%1)"/>
      <w:lvlJc w:val="left"/>
      <w:pPr>
        <w:ind w:left="1440" w:hanging="360"/>
      </w:pPr>
      <w:rPr>
        <w:rFonts w:hint="default"/>
      </w:rPr>
    </w:lvl>
    <w:lvl w:ilvl="1" w:tplc="0C090003" w:tentative="1">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21">
    <w:nsid w:val="16E7532B"/>
    <w:multiLevelType w:val="hybridMultilevel"/>
    <w:tmpl w:val="DA825B26"/>
    <w:lvl w:ilvl="0" w:tplc="681A1964">
      <w:start w:val="1"/>
      <w:numFmt w:val="bullet"/>
      <w:lvlText w:val="o"/>
      <w:lvlJc w:val="left"/>
      <w:pPr>
        <w:ind w:left="1440" w:hanging="360"/>
      </w:pPr>
      <w:rPr>
        <w:rFonts w:ascii="Courier New" w:hAnsi="Courier New" w:cs="Courier New" w:hint="default"/>
      </w:rPr>
    </w:lvl>
    <w:lvl w:ilvl="1" w:tplc="0C090019" w:tentative="1">
      <w:start w:val="1"/>
      <w:numFmt w:val="bullet"/>
      <w:lvlText w:val="o"/>
      <w:lvlJc w:val="left"/>
      <w:pPr>
        <w:ind w:left="2160" w:hanging="360"/>
      </w:pPr>
      <w:rPr>
        <w:rFonts w:ascii="Courier New" w:hAnsi="Courier New" w:cs="Courier New"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22">
    <w:nsid w:val="17153430"/>
    <w:multiLevelType w:val="hybridMultilevel"/>
    <w:tmpl w:val="500892A2"/>
    <w:lvl w:ilvl="0" w:tplc="04090003">
      <w:start w:val="1"/>
      <w:numFmt w:val="decimal"/>
      <w:lvlText w:val="(%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nsid w:val="187D21D4"/>
    <w:multiLevelType w:val="hybridMultilevel"/>
    <w:tmpl w:val="15F0E648"/>
    <w:lvl w:ilvl="0" w:tplc="20025CD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F">
      <w:start w:val="1"/>
      <w:numFmt w:val="bullet"/>
      <w:lvlText w:val=""/>
      <w:lvlJc w:val="left"/>
      <w:pPr>
        <w:ind w:left="1440" w:hanging="360"/>
      </w:pPr>
      <w:rPr>
        <w:rFonts w:ascii="Symbol" w:hAnsi="Symbol" w:hint="default"/>
      </w:rPr>
    </w:lvl>
    <w:lvl w:ilvl="1" w:tplc="0C090019">
      <w:start w:val="1"/>
      <w:numFmt w:val="bullet"/>
      <w:lvlText w:val=""/>
      <w:lvlJc w:val="left"/>
      <w:pPr>
        <w:ind w:left="2160" w:hanging="360"/>
      </w:pPr>
      <w:rPr>
        <w:rFonts w:ascii="Symbol" w:hAnsi="Symbol"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1"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B35FC"/>
    <w:multiLevelType w:val="hybridMultilevel"/>
    <w:tmpl w:val="9EB2C22E"/>
    <w:lvl w:ilvl="0" w:tplc="04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D7E3337"/>
    <w:multiLevelType w:val="hybridMultilevel"/>
    <w:tmpl w:val="27C86A2E"/>
    <w:lvl w:ilvl="0" w:tplc="0C09000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1F02C81"/>
    <w:multiLevelType w:val="hybridMultilevel"/>
    <w:tmpl w:val="FEBE8B72"/>
    <w:lvl w:ilvl="0" w:tplc="04090019">
      <w:start w:val="1"/>
      <w:numFmt w:val="bullet"/>
      <w:pStyle w:val="AHPRABulletlevel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235C28E3"/>
    <w:multiLevelType w:val="hybridMultilevel"/>
    <w:tmpl w:val="9EDCE0AA"/>
    <w:lvl w:ilvl="0" w:tplc="3C166F44">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24145436"/>
    <w:multiLevelType w:val="hybridMultilevel"/>
    <w:tmpl w:val="A9B4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E15C3E"/>
    <w:multiLevelType w:val="hybridMultilevel"/>
    <w:tmpl w:val="DCA4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26A00156"/>
    <w:multiLevelType w:val="hybridMultilevel"/>
    <w:tmpl w:val="DB86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DA0240"/>
    <w:multiLevelType w:val="hybridMultilevel"/>
    <w:tmpl w:val="11D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CC5418B"/>
    <w:multiLevelType w:val="hybridMultilevel"/>
    <w:tmpl w:val="84264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F10347"/>
    <w:multiLevelType w:val="hybridMultilevel"/>
    <w:tmpl w:val="D500ECA6"/>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nsid w:val="2F727341"/>
    <w:multiLevelType w:val="hybridMultilevel"/>
    <w:tmpl w:val="194A82C4"/>
    <w:lvl w:ilvl="0" w:tplc="0C090001">
      <w:start w:val="1"/>
      <w:numFmt w:val="decimal"/>
      <w:pStyle w:val="AHPRAnumberedbulletpoint"/>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4">
    <w:nsid w:val="30C065C2"/>
    <w:multiLevelType w:val="hybridMultilevel"/>
    <w:tmpl w:val="42C6061A"/>
    <w:lvl w:ilvl="0" w:tplc="33E660A8">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A766B4"/>
    <w:multiLevelType w:val="hybridMultilevel"/>
    <w:tmpl w:val="914EF0E0"/>
    <w:lvl w:ilvl="0" w:tplc="676C36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505F82"/>
    <w:multiLevelType w:val="hybridMultilevel"/>
    <w:tmpl w:val="31DE5CAA"/>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3A9A65BC"/>
    <w:multiLevelType w:val="hybridMultilevel"/>
    <w:tmpl w:val="E21C0B62"/>
    <w:lvl w:ilvl="0" w:tplc="0C090001">
      <w:start w:val="1"/>
      <w:numFmt w:val="bullet"/>
      <w:pStyle w:val="AHPRABulletlevel1las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nsid w:val="3AFD49C3"/>
    <w:multiLevelType w:val="hybridMultilevel"/>
    <w:tmpl w:val="1A28F8C4"/>
    <w:lvl w:ilvl="0" w:tplc="30E07B36">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0">
    <w:nsid w:val="3B7B2D5C"/>
    <w:multiLevelType w:val="hybridMultilevel"/>
    <w:tmpl w:val="BEC069B0"/>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1">
    <w:nsid w:val="3C1373FF"/>
    <w:multiLevelType w:val="hybridMultilevel"/>
    <w:tmpl w:val="BB86969A"/>
    <w:lvl w:ilvl="0" w:tplc="04090001">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nsid w:val="3FB96A5F"/>
    <w:multiLevelType w:val="hybridMultilevel"/>
    <w:tmpl w:val="30802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262119"/>
    <w:multiLevelType w:val="hybridMultilevel"/>
    <w:tmpl w:val="0E58AFE8"/>
    <w:lvl w:ilvl="0" w:tplc="04090017">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4">
    <w:nsid w:val="42C70F1B"/>
    <w:multiLevelType w:val="hybridMultilevel"/>
    <w:tmpl w:val="8910BA06"/>
    <w:lvl w:ilvl="0" w:tplc="0C090001">
      <w:start w:val="1"/>
      <w:numFmt w:val="lowerLetter"/>
      <w:lvlText w:val="%1."/>
      <w:lvlJc w:val="left"/>
      <w:pPr>
        <w:ind w:left="720" w:hanging="360"/>
      </w:pPr>
    </w:lvl>
    <w:lvl w:ilvl="1" w:tplc="04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5">
    <w:nsid w:val="42FA3AEB"/>
    <w:multiLevelType w:val="hybridMultilevel"/>
    <w:tmpl w:val="285A5D74"/>
    <w:lvl w:ilvl="0" w:tplc="04090019">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437A547D"/>
    <w:multiLevelType w:val="hybridMultilevel"/>
    <w:tmpl w:val="1BEC8C58"/>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430C38"/>
    <w:multiLevelType w:val="hybridMultilevel"/>
    <w:tmpl w:val="C1EADDD0"/>
    <w:lvl w:ilvl="0" w:tplc="04090019">
      <w:start w:val="1"/>
      <w:numFmt w:val="bullet"/>
      <w:lvlText w:val=""/>
      <w:lvlJc w:val="left"/>
      <w:pPr>
        <w:ind w:left="720" w:hanging="360"/>
      </w:pPr>
      <w:rPr>
        <w:rFonts w:ascii="Symbol" w:hAnsi="Symbol" w:hint="default"/>
        <w:sz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nsid w:val="44C456A5"/>
    <w:multiLevelType w:val="hybridMultilevel"/>
    <w:tmpl w:val="9E3CEF84"/>
    <w:lvl w:ilvl="0" w:tplc="5FDAAD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4CD3587"/>
    <w:multiLevelType w:val="hybridMultilevel"/>
    <w:tmpl w:val="6450B512"/>
    <w:lvl w:ilvl="0" w:tplc="04090001">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2A7759"/>
    <w:multiLevelType w:val="hybridMultilevel"/>
    <w:tmpl w:val="91C82CD4"/>
    <w:lvl w:ilvl="0" w:tplc="0409001B">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nsid w:val="48192FC6"/>
    <w:multiLevelType w:val="hybridMultilevel"/>
    <w:tmpl w:val="068A29CC"/>
    <w:lvl w:ilvl="0" w:tplc="0C090017">
      <w:start w:val="1"/>
      <w:numFmt w:val="bullet"/>
      <w:pStyle w:val="AHPRABulletlevel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3">
    <w:nsid w:val="484B38A4"/>
    <w:multiLevelType w:val="hybridMultilevel"/>
    <w:tmpl w:val="78A0FD3C"/>
    <w:lvl w:ilvl="0" w:tplc="BBCC2522">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4">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037E09"/>
    <w:multiLevelType w:val="hybridMultilevel"/>
    <w:tmpl w:val="D018DFE4"/>
    <w:lvl w:ilvl="0" w:tplc="04090019">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E97302C"/>
    <w:multiLevelType w:val="hybridMultilevel"/>
    <w:tmpl w:val="A3A47374"/>
    <w:lvl w:ilvl="0" w:tplc="FBFE0CC2">
      <w:start w:val="1"/>
      <w:numFmt w:val="lowerLetter"/>
      <w:lvlText w:val="%1."/>
      <w:lvlJc w:val="left"/>
      <w:pPr>
        <w:ind w:left="720" w:hanging="360"/>
      </w:pPr>
    </w:lvl>
    <w:lvl w:ilvl="1" w:tplc="B232B05E">
      <w:start w:val="1"/>
      <w:numFmt w:val="lowerLetter"/>
      <w:lvlText w:val="%2."/>
      <w:lvlJc w:val="left"/>
      <w:pPr>
        <w:ind w:left="1440" w:hanging="360"/>
      </w:pPr>
    </w:lvl>
    <w:lvl w:ilvl="2" w:tplc="7DEC3858" w:tentative="1">
      <w:start w:val="1"/>
      <w:numFmt w:val="lowerRoman"/>
      <w:lvlText w:val="%3."/>
      <w:lvlJc w:val="right"/>
      <w:pPr>
        <w:ind w:left="2160" w:hanging="180"/>
      </w:pPr>
    </w:lvl>
    <w:lvl w:ilvl="3" w:tplc="FC04B6B0" w:tentative="1">
      <w:start w:val="1"/>
      <w:numFmt w:val="decimal"/>
      <w:lvlText w:val="%4."/>
      <w:lvlJc w:val="left"/>
      <w:pPr>
        <w:ind w:left="2880" w:hanging="360"/>
      </w:pPr>
    </w:lvl>
    <w:lvl w:ilvl="4" w:tplc="0BF2A154" w:tentative="1">
      <w:start w:val="1"/>
      <w:numFmt w:val="lowerLetter"/>
      <w:lvlText w:val="%5."/>
      <w:lvlJc w:val="left"/>
      <w:pPr>
        <w:ind w:left="3600" w:hanging="360"/>
      </w:pPr>
    </w:lvl>
    <w:lvl w:ilvl="5" w:tplc="ADDA21A4" w:tentative="1">
      <w:start w:val="1"/>
      <w:numFmt w:val="lowerRoman"/>
      <w:lvlText w:val="%6."/>
      <w:lvlJc w:val="right"/>
      <w:pPr>
        <w:ind w:left="4320" w:hanging="180"/>
      </w:pPr>
    </w:lvl>
    <w:lvl w:ilvl="6" w:tplc="14CAD3C8" w:tentative="1">
      <w:start w:val="1"/>
      <w:numFmt w:val="decimal"/>
      <w:lvlText w:val="%7."/>
      <w:lvlJc w:val="left"/>
      <w:pPr>
        <w:ind w:left="5040" w:hanging="360"/>
      </w:pPr>
    </w:lvl>
    <w:lvl w:ilvl="7" w:tplc="54B8AC86" w:tentative="1">
      <w:start w:val="1"/>
      <w:numFmt w:val="lowerLetter"/>
      <w:lvlText w:val="%8."/>
      <w:lvlJc w:val="left"/>
      <w:pPr>
        <w:ind w:left="5760" w:hanging="360"/>
      </w:pPr>
    </w:lvl>
    <w:lvl w:ilvl="8" w:tplc="185250F8" w:tentative="1">
      <w:start w:val="1"/>
      <w:numFmt w:val="lowerRoman"/>
      <w:lvlText w:val="%9."/>
      <w:lvlJc w:val="right"/>
      <w:pPr>
        <w:ind w:left="6480" w:hanging="180"/>
      </w:pPr>
    </w:lvl>
  </w:abstractNum>
  <w:abstractNum w:abstractNumId="68">
    <w:nsid w:val="4EB36C8F"/>
    <w:multiLevelType w:val="hybridMultilevel"/>
    <w:tmpl w:val="F3DCCAB6"/>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nsid w:val="52B418D1"/>
    <w:multiLevelType w:val="hybridMultilevel"/>
    <w:tmpl w:val="890284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0">
    <w:nsid w:val="52C46A37"/>
    <w:multiLevelType w:val="hybridMultilevel"/>
    <w:tmpl w:val="0A4C6036"/>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71">
    <w:nsid w:val="53162B93"/>
    <w:multiLevelType w:val="hybridMultilevel"/>
    <w:tmpl w:val="C9984E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32E5E6E"/>
    <w:multiLevelType w:val="hybridMultilevel"/>
    <w:tmpl w:val="94AE7E08"/>
    <w:lvl w:ilvl="0" w:tplc="04090019">
      <w:start w:val="1"/>
      <w:numFmt w:val="bullet"/>
      <w:pStyle w:val="AHPRABulletText"/>
      <w:lvlText w:val=""/>
      <w:lvlJc w:val="left"/>
      <w:pPr>
        <w:tabs>
          <w:tab w:val="num" w:pos="284"/>
        </w:tabs>
        <w:ind w:left="284" w:hanging="284"/>
      </w:pPr>
      <w:rPr>
        <w:rFonts w:ascii="Symbol" w:hAnsi="Symbol" w:hint="default"/>
      </w:rPr>
    </w:lvl>
    <w:lvl w:ilvl="1" w:tplc="04090019" w:tentative="1">
      <w:start w:val="1"/>
      <w:numFmt w:val="bullet"/>
      <w:lvlText w:val="o"/>
      <w:lvlJc w:val="left"/>
      <w:pPr>
        <w:ind w:left="1440" w:hanging="360"/>
      </w:pPr>
      <w:rPr>
        <w:rFonts w:ascii="Courier" w:hAnsi="Courier" w:hint="default"/>
      </w:rPr>
    </w:lvl>
    <w:lvl w:ilvl="2" w:tplc="0409001B" w:tentative="1">
      <w:start w:val="1"/>
      <w:numFmt w:val="bullet"/>
      <w:lvlText w:val=""/>
      <w:lvlJc w:val="left"/>
      <w:pPr>
        <w:ind w:left="2160" w:hanging="360"/>
      </w:pPr>
      <w:rPr>
        <w:rFonts w:ascii="Symbol" w:hAnsi="Symbol"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w:hAnsi="Courier" w:hint="default"/>
      </w:rPr>
    </w:lvl>
    <w:lvl w:ilvl="5" w:tplc="0409001B" w:tentative="1">
      <w:start w:val="1"/>
      <w:numFmt w:val="bullet"/>
      <w:lvlText w:val=""/>
      <w:lvlJc w:val="left"/>
      <w:pPr>
        <w:ind w:left="4320" w:hanging="360"/>
      </w:pPr>
      <w:rPr>
        <w:rFonts w:ascii="Symbol" w:hAnsi="Symbol"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w:hAnsi="Courier" w:hint="default"/>
      </w:rPr>
    </w:lvl>
    <w:lvl w:ilvl="8" w:tplc="0409001B" w:tentative="1">
      <w:start w:val="1"/>
      <w:numFmt w:val="bullet"/>
      <w:lvlText w:val=""/>
      <w:lvlJc w:val="left"/>
      <w:pPr>
        <w:ind w:left="6480" w:hanging="360"/>
      </w:pPr>
      <w:rPr>
        <w:rFonts w:ascii="Symbol" w:hAnsi="Symbol" w:hint="default"/>
      </w:rPr>
    </w:lvl>
  </w:abstractNum>
  <w:abstractNum w:abstractNumId="73">
    <w:nsid w:val="55E20A82"/>
    <w:multiLevelType w:val="hybridMultilevel"/>
    <w:tmpl w:val="6F80E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56164F7D"/>
    <w:multiLevelType w:val="hybridMultilevel"/>
    <w:tmpl w:val="8500E77C"/>
    <w:lvl w:ilvl="0" w:tplc="958A6148">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nsid w:val="56857AAA"/>
    <w:multiLevelType w:val="hybridMultilevel"/>
    <w:tmpl w:val="62B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DD0F90"/>
    <w:multiLevelType w:val="hybridMultilevel"/>
    <w:tmpl w:val="500892A2"/>
    <w:lvl w:ilvl="0" w:tplc="0409001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FC43B4A"/>
    <w:multiLevelType w:val="hybridMultilevel"/>
    <w:tmpl w:val="9F505E0A"/>
    <w:lvl w:ilvl="0" w:tplc="20025CD8">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60626335"/>
    <w:multiLevelType w:val="hybridMultilevel"/>
    <w:tmpl w:val="0E96F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3C13504"/>
    <w:multiLevelType w:val="hybridMultilevel"/>
    <w:tmpl w:val="F618AC3E"/>
    <w:lvl w:ilvl="0" w:tplc="04090019">
      <w:start w:val="1"/>
      <w:numFmt w:val="decimal"/>
      <w:pStyle w:val="AHPRANumberedText"/>
      <w:lvlText w:val="%1."/>
      <w:lvlJc w:val="left"/>
      <w:pPr>
        <w:tabs>
          <w:tab w:val="num" w:pos="284"/>
        </w:tabs>
        <w:ind w:left="284" w:hanging="284"/>
      </w:pPr>
      <w:rPr>
        <w:rFonts w:hint="default"/>
      </w:rPr>
    </w:lvl>
    <w:lvl w:ilvl="1" w:tplc="04090019" w:tentative="1">
      <w:start w:val="1"/>
      <w:numFmt w:val="bullet"/>
      <w:lvlText w:val="o"/>
      <w:lvlJc w:val="left"/>
      <w:pPr>
        <w:ind w:left="2008" w:hanging="360"/>
      </w:pPr>
      <w:rPr>
        <w:rFonts w:ascii="Courier" w:hAnsi="Courier" w:hint="default"/>
      </w:rPr>
    </w:lvl>
    <w:lvl w:ilvl="2" w:tplc="0409001B" w:tentative="1">
      <w:start w:val="1"/>
      <w:numFmt w:val="bullet"/>
      <w:lvlText w:val=""/>
      <w:lvlJc w:val="left"/>
      <w:pPr>
        <w:ind w:left="2728" w:hanging="360"/>
      </w:pPr>
      <w:rPr>
        <w:rFonts w:ascii="Symbol" w:hAnsi="Symbol" w:hint="default"/>
      </w:rPr>
    </w:lvl>
    <w:lvl w:ilvl="3" w:tplc="0409000F" w:tentative="1">
      <w:start w:val="1"/>
      <w:numFmt w:val="bullet"/>
      <w:lvlText w:val=""/>
      <w:lvlJc w:val="left"/>
      <w:pPr>
        <w:ind w:left="3448" w:hanging="360"/>
      </w:pPr>
      <w:rPr>
        <w:rFonts w:ascii="Symbol" w:hAnsi="Symbol" w:hint="default"/>
      </w:rPr>
    </w:lvl>
    <w:lvl w:ilvl="4" w:tplc="04090019" w:tentative="1">
      <w:start w:val="1"/>
      <w:numFmt w:val="bullet"/>
      <w:lvlText w:val="o"/>
      <w:lvlJc w:val="left"/>
      <w:pPr>
        <w:ind w:left="4168" w:hanging="360"/>
      </w:pPr>
      <w:rPr>
        <w:rFonts w:ascii="Courier" w:hAnsi="Courier" w:hint="default"/>
      </w:rPr>
    </w:lvl>
    <w:lvl w:ilvl="5" w:tplc="0409001B" w:tentative="1">
      <w:start w:val="1"/>
      <w:numFmt w:val="bullet"/>
      <w:lvlText w:val=""/>
      <w:lvlJc w:val="left"/>
      <w:pPr>
        <w:ind w:left="4888" w:hanging="360"/>
      </w:pPr>
      <w:rPr>
        <w:rFonts w:ascii="Symbol" w:hAnsi="Symbol" w:hint="default"/>
      </w:rPr>
    </w:lvl>
    <w:lvl w:ilvl="6" w:tplc="0409000F" w:tentative="1">
      <w:start w:val="1"/>
      <w:numFmt w:val="bullet"/>
      <w:lvlText w:val=""/>
      <w:lvlJc w:val="left"/>
      <w:pPr>
        <w:ind w:left="5608" w:hanging="360"/>
      </w:pPr>
      <w:rPr>
        <w:rFonts w:ascii="Symbol" w:hAnsi="Symbol" w:hint="default"/>
      </w:rPr>
    </w:lvl>
    <w:lvl w:ilvl="7" w:tplc="04090019" w:tentative="1">
      <w:start w:val="1"/>
      <w:numFmt w:val="bullet"/>
      <w:lvlText w:val="o"/>
      <w:lvlJc w:val="left"/>
      <w:pPr>
        <w:ind w:left="6328" w:hanging="360"/>
      </w:pPr>
      <w:rPr>
        <w:rFonts w:ascii="Courier" w:hAnsi="Courier" w:hint="default"/>
      </w:rPr>
    </w:lvl>
    <w:lvl w:ilvl="8" w:tplc="0409001B" w:tentative="1">
      <w:start w:val="1"/>
      <w:numFmt w:val="bullet"/>
      <w:lvlText w:val=""/>
      <w:lvlJc w:val="left"/>
      <w:pPr>
        <w:ind w:left="7048" w:hanging="360"/>
      </w:pPr>
      <w:rPr>
        <w:rFonts w:ascii="Symbol" w:hAnsi="Symbol" w:hint="default"/>
      </w:rPr>
    </w:lvl>
  </w:abstractNum>
  <w:abstractNum w:abstractNumId="83">
    <w:nsid w:val="64055513"/>
    <w:multiLevelType w:val="hybridMultilevel"/>
    <w:tmpl w:val="52529ADA"/>
    <w:lvl w:ilvl="0" w:tplc="AA76E5B8">
      <w:start w:val="1"/>
      <w:numFmt w:val="decimal"/>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nsid w:val="66CF63E8"/>
    <w:multiLevelType w:val="hybridMultilevel"/>
    <w:tmpl w:val="2310608C"/>
    <w:lvl w:ilvl="0" w:tplc="31A4CB5E">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9C9112C"/>
    <w:multiLevelType w:val="hybridMultilevel"/>
    <w:tmpl w:val="7A4AE846"/>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9">
    <w:nsid w:val="6A1A341C"/>
    <w:multiLevelType w:val="hybridMultilevel"/>
    <w:tmpl w:val="CCDA5B7A"/>
    <w:lvl w:ilvl="0" w:tplc="0C090001">
      <w:start w:val="1"/>
      <w:numFmt w:val="lowerLetter"/>
      <w:lvlText w:val="%1."/>
      <w:lvlJc w:val="left"/>
      <w:pPr>
        <w:ind w:left="720" w:hanging="360"/>
      </w:p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0">
    <w:nsid w:val="6ACC55E0"/>
    <w:multiLevelType w:val="hybridMultilevel"/>
    <w:tmpl w:val="5AB42B54"/>
    <w:lvl w:ilvl="0" w:tplc="04090019">
      <w:start w:val="1"/>
      <w:numFmt w:val="bullet"/>
      <w:pStyle w:val="AHPRABulletlevel3"/>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91">
    <w:nsid w:val="6BD06492"/>
    <w:multiLevelType w:val="hybridMultilevel"/>
    <w:tmpl w:val="11A088E6"/>
    <w:lvl w:ilvl="0" w:tplc="C4D81B3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nsid w:val="70036476"/>
    <w:multiLevelType w:val="hybridMultilevel"/>
    <w:tmpl w:val="6A78E838"/>
    <w:lvl w:ilvl="0" w:tplc="040900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5B29E3"/>
    <w:multiLevelType w:val="hybridMultilevel"/>
    <w:tmpl w:val="67B85694"/>
    <w:lvl w:ilvl="0" w:tplc="0C090001">
      <w:start w:val="1"/>
      <w:numFmt w:val="bullet"/>
      <w:lvlText w:val=""/>
      <w:lvlJc w:val="left"/>
      <w:pPr>
        <w:ind w:left="733" w:hanging="360"/>
      </w:pPr>
      <w:rPr>
        <w:rFonts w:ascii="Symbol" w:hAnsi="Symbol" w:hint="default"/>
      </w:rPr>
    </w:lvl>
    <w:lvl w:ilvl="1" w:tplc="0C090003" w:tentative="1">
      <w:start w:val="1"/>
      <w:numFmt w:val="bullet"/>
      <w:lvlText w:val="o"/>
      <w:lvlJc w:val="left"/>
      <w:pPr>
        <w:ind w:left="1453" w:hanging="360"/>
      </w:pPr>
      <w:rPr>
        <w:rFonts w:ascii="Courier New" w:hAnsi="Courier New" w:cs="Courier New" w:hint="default"/>
      </w:rPr>
    </w:lvl>
    <w:lvl w:ilvl="2" w:tplc="0C090005" w:tentative="1">
      <w:start w:val="1"/>
      <w:numFmt w:val="bullet"/>
      <w:lvlText w:val=""/>
      <w:lvlJc w:val="left"/>
      <w:pPr>
        <w:ind w:left="2173" w:hanging="360"/>
      </w:pPr>
      <w:rPr>
        <w:rFonts w:ascii="Wingdings" w:hAnsi="Wingdings" w:hint="default"/>
      </w:rPr>
    </w:lvl>
    <w:lvl w:ilvl="3" w:tplc="0C090001" w:tentative="1">
      <w:start w:val="1"/>
      <w:numFmt w:val="bullet"/>
      <w:lvlText w:val=""/>
      <w:lvlJc w:val="left"/>
      <w:pPr>
        <w:ind w:left="2893" w:hanging="360"/>
      </w:pPr>
      <w:rPr>
        <w:rFonts w:ascii="Symbol" w:hAnsi="Symbol" w:hint="default"/>
      </w:rPr>
    </w:lvl>
    <w:lvl w:ilvl="4" w:tplc="0C090003" w:tentative="1">
      <w:start w:val="1"/>
      <w:numFmt w:val="bullet"/>
      <w:lvlText w:val="o"/>
      <w:lvlJc w:val="left"/>
      <w:pPr>
        <w:ind w:left="3613" w:hanging="360"/>
      </w:pPr>
      <w:rPr>
        <w:rFonts w:ascii="Courier New" w:hAnsi="Courier New" w:cs="Courier New" w:hint="default"/>
      </w:rPr>
    </w:lvl>
    <w:lvl w:ilvl="5" w:tplc="0C090005" w:tentative="1">
      <w:start w:val="1"/>
      <w:numFmt w:val="bullet"/>
      <w:lvlText w:val=""/>
      <w:lvlJc w:val="left"/>
      <w:pPr>
        <w:ind w:left="4333" w:hanging="360"/>
      </w:pPr>
      <w:rPr>
        <w:rFonts w:ascii="Wingdings" w:hAnsi="Wingdings" w:hint="default"/>
      </w:rPr>
    </w:lvl>
    <w:lvl w:ilvl="6" w:tplc="0C090001" w:tentative="1">
      <w:start w:val="1"/>
      <w:numFmt w:val="bullet"/>
      <w:lvlText w:val=""/>
      <w:lvlJc w:val="left"/>
      <w:pPr>
        <w:ind w:left="5053" w:hanging="360"/>
      </w:pPr>
      <w:rPr>
        <w:rFonts w:ascii="Symbol" w:hAnsi="Symbol" w:hint="default"/>
      </w:rPr>
    </w:lvl>
    <w:lvl w:ilvl="7" w:tplc="0C090003" w:tentative="1">
      <w:start w:val="1"/>
      <w:numFmt w:val="bullet"/>
      <w:lvlText w:val="o"/>
      <w:lvlJc w:val="left"/>
      <w:pPr>
        <w:ind w:left="5773" w:hanging="360"/>
      </w:pPr>
      <w:rPr>
        <w:rFonts w:ascii="Courier New" w:hAnsi="Courier New" w:cs="Courier New" w:hint="default"/>
      </w:rPr>
    </w:lvl>
    <w:lvl w:ilvl="8" w:tplc="0C090005" w:tentative="1">
      <w:start w:val="1"/>
      <w:numFmt w:val="bullet"/>
      <w:lvlText w:val=""/>
      <w:lvlJc w:val="left"/>
      <w:pPr>
        <w:ind w:left="6493" w:hanging="360"/>
      </w:pPr>
      <w:rPr>
        <w:rFonts w:ascii="Wingdings" w:hAnsi="Wingdings" w:hint="default"/>
      </w:rPr>
    </w:lvl>
  </w:abstractNum>
  <w:abstractNum w:abstractNumId="94">
    <w:nsid w:val="745C4D97"/>
    <w:multiLevelType w:val="hybridMultilevel"/>
    <w:tmpl w:val="D388AF90"/>
    <w:lvl w:ilvl="0" w:tplc="FF4822D6">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5">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AB015CA"/>
    <w:multiLevelType w:val="hybridMultilevel"/>
    <w:tmpl w:val="A12A79F6"/>
    <w:lvl w:ilvl="0" w:tplc="79A2BEC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9">
    <w:nsid w:val="7B4029AB"/>
    <w:multiLevelType w:val="hybridMultilevel"/>
    <w:tmpl w:val="8B10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A95BDF"/>
    <w:multiLevelType w:val="hybridMultilevel"/>
    <w:tmpl w:val="BC50CCF6"/>
    <w:lvl w:ilvl="0" w:tplc="04090019">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7C731660"/>
    <w:multiLevelType w:val="multilevel"/>
    <w:tmpl w:val="C4183F12"/>
    <w:numStyleLink w:val="AHPRANumberedlist"/>
  </w:abstractNum>
  <w:abstractNum w:abstractNumId="102">
    <w:nsid w:val="7D673610"/>
    <w:multiLevelType w:val="hybridMultilevel"/>
    <w:tmpl w:val="57829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7DFB5B50"/>
    <w:multiLevelType w:val="hybridMultilevel"/>
    <w:tmpl w:val="5D76F50C"/>
    <w:lvl w:ilvl="0" w:tplc="F10864BA">
      <w:start w:val="1"/>
      <w:numFmt w:val="decimal"/>
      <w:lvlText w:val="%1."/>
      <w:lvlJc w:val="left"/>
      <w:pPr>
        <w:ind w:left="928" w:hanging="360"/>
      </w:pPr>
      <w:rPr>
        <w:sz w:val="20"/>
        <w:szCs w:val="20"/>
      </w:rPr>
    </w:lvl>
    <w:lvl w:ilvl="1" w:tplc="AD3A0FCA">
      <w:start w:val="1"/>
      <w:numFmt w:val="lowerLetter"/>
      <w:lvlText w:val="%2."/>
      <w:lvlJc w:val="left"/>
      <w:pPr>
        <w:ind w:left="1440" w:hanging="360"/>
      </w:pPr>
    </w:lvl>
    <w:lvl w:ilvl="2" w:tplc="0C6E1D18" w:tentative="1">
      <w:start w:val="1"/>
      <w:numFmt w:val="lowerRoman"/>
      <w:lvlText w:val="%3."/>
      <w:lvlJc w:val="right"/>
      <w:pPr>
        <w:ind w:left="2160" w:hanging="180"/>
      </w:pPr>
    </w:lvl>
    <w:lvl w:ilvl="3" w:tplc="80D4EE36" w:tentative="1">
      <w:start w:val="1"/>
      <w:numFmt w:val="decimal"/>
      <w:lvlText w:val="%4."/>
      <w:lvlJc w:val="left"/>
      <w:pPr>
        <w:ind w:left="2880" w:hanging="360"/>
      </w:pPr>
    </w:lvl>
    <w:lvl w:ilvl="4" w:tplc="124C6578" w:tentative="1">
      <w:start w:val="1"/>
      <w:numFmt w:val="lowerLetter"/>
      <w:lvlText w:val="%5."/>
      <w:lvlJc w:val="left"/>
      <w:pPr>
        <w:ind w:left="3600" w:hanging="360"/>
      </w:pPr>
    </w:lvl>
    <w:lvl w:ilvl="5" w:tplc="0EA67318" w:tentative="1">
      <w:start w:val="1"/>
      <w:numFmt w:val="lowerRoman"/>
      <w:lvlText w:val="%6."/>
      <w:lvlJc w:val="right"/>
      <w:pPr>
        <w:ind w:left="4320" w:hanging="180"/>
      </w:pPr>
    </w:lvl>
    <w:lvl w:ilvl="6" w:tplc="F1B8C83C" w:tentative="1">
      <w:start w:val="1"/>
      <w:numFmt w:val="decimal"/>
      <w:lvlText w:val="%7."/>
      <w:lvlJc w:val="left"/>
      <w:pPr>
        <w:ind w:left="5040" w:hanging="360"/>
      </w:pPr>
    </w:lvl>
    <w:lvl w:ilvl="7" w:tplc="5192C7B0" w:tentative="1">
      <w:start w:val="1"/>
      <w:numFmt w:val="lowerLetter"/>
      <w:lvlText w:val="%8."/>
      <w:lvlJc w:val="left"/>
      <w:pPr>
        <w:ind w:left="5760" w:hanging="360"/>
      </w:pPr>
    </w:lvl>
    <w:lvl w:ilvl="8" w:tplc="39689778" w:tentative="1">
      <w:start w:val="1"/>
      <w:numFmt w:val="lowerRoman"/>
      <w:lvlText w:val="%9."/>
      <w:lvlJc w:val="right"/>
      <w:pPr>
        <w:ind w:left="6480" w:hanging="180"/>
      </w:pPr>
    </w:lvl>
  </w:abstractNum>
  <w:abstractNum w:abstractNumId="104">
    <w:nsid w:val="7FF0678B"/>
    <w:multiLevelType w:val="hybridMultilevel"/>
    <w:tmpl w:val="31B0A1BC"/>
    <w:lvl w:ilvl="0" w:tplc="6BB2EB02">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5"/>
  </w:num>
  <w:num w:numId="2">
    <w:abstractNumId w:val="48"/>
  </w:num>
  <w:num w:numId="3">
    <w:abstractNumId w:val="72"/>
  </w:num>
  <w:num w:numId="4">
    <w:abstractNumId w:val="82"/>
  </w:num>
  <w:num w:numId="5">
    <w:abstractNumId w:val="30"/>
  </w:num>
  <w:num w:numId="6">
    <w:abstractNumId w:val="90"/>
  </w:num>
  <w:num w:numId="7">
    <w:abstractNumId w:val="44"/>
  </w:num>
  <w:num w:numId="8">
    <w:abstractNumId w:val="62"/>
  </w:num>
  <w:num w:numId="9">
    <w:abstractNumId w:val="43"/>
  </w:num>
  <w:num w:numId="10">
    <w:abstractNumId w:val="7"/>
  </w:num>
  <w:num w:numId="11">
    <w:abstractNumId w:val="11"/>
  </w:num>
  <w:num w:numId="12">
    <w:abstractNumId w:val="10"/>
  </w:num>
  <w:num w:numId="13">
    <w:abstractNumId w:val="101"/>
  </w:num>
  <w:num w:numId="14">
    <w:abstractNumId w:val="25"/>
  </w:num>
  <w:num w:numId="15">
    <w:abstractNumId w:val="70"/>
  </w:num>
  <w:num w:numId="16">
    <w:abstractNumId w:val="22"/>
  </w:num>
  <w:num w:numId="17">
    <w:abstractNumId w:val="19"/>
  </w:num>
  <w:num w:numId="18">
    <w:abstractNumId w:val="78"/>
  </w:num>
  <w:num w:numId="19">
    <w:abstractNumId w:val="9"/>
  </w:num>
  <w:num w:numId="20">
    <w:abstractNumId w:val="20"/>
  </w:num>
  <w:num w:numId="21">
    <w:abstractNumId w:val="2"/>
  </w:num>
  <w:num w:numId="22">
    <w:abstractNumId w:val="24"/>
  </w:num>
  <w:num w:numId="23">
    <w:abstractNumId w:val="6"/>
  </w:num>
  <w:num w:numId="24">
    <w:abstractNumId w:val="61"/>
  </w:num>
  <w:num w:numId="25">
    <w:abstractNumId w:val="13"/>
  </w:num>
  <w:num w:numId="26">
    <w:abstractNumId w:val="88"/>
  </w:num>
  <w:num w:numId="27">
    <w:abstractNumId w:val="53"/>
  </w:num>
  <w:num w:numId="28">
    <w:abstractNumId w:val="17"/>
  </w:num>
  <w:num w:numId="29">
    <w:abstractNumId w:val="42"/>
  </w:num>
  <w:num w:numId="30">
    <w:abstractNumId w:val="1"/>
  </w:num>
  <w:num w:numId="31">
    <w:abstractNumId w:val="52"/>
  </w:num>
  <w:num w:numId="32">
    <w:abstractNumId w:val="21"/>
  </w:num>
  <w:num w:numId="33">
    <w:abstractNumId w:val="49"/>
  </w:num>
  <w:num w:numId="34">
    <w:abstractNumId w:val="47"/>
  </w:num>
  <w:num w:numId="35">
    <w:abstractNumId w:val="23"/>
  </w:num>
  <w:num w:numId="36">
    <w:abstractNumId w:val="12"/>
  </w:num>
  <w:num w:numId="37">
    <w:abstractNumId w:val="3"/>
  </w:num>
  <w:num w:numId="38">
    <w:abstractNumId w:val="59"/>
  </w:num>
  <w:num w:numId="39">
    <w:abstractNumId w:val="18"/>
  </w:num>
  <w:num w:numId="40">
    <w:abstractNumId w:val="104"/>
  </w:num>
  <w:num w:numId="41">
    <w:abstractNumId w:val="97"/>
  </w:num>
  <w:num w:numId="42">
    <w:abstractNumId w:val="15"/>
  </w:num>
  <w:num w:numId="43">
    <w:abstractNumId w:val="37"/>
  </w:num>
  <w:num w:numId="44">
    <w:abstractNumId w:val="31"/>
  </w:num>
  <w:num w:numId="45">
    <w:abstractNumId w:val="0"/>
  </w:num>
  <w:num w:numId="46">
    <w:abstractNumId w:val="64"/>
  </w:num>
  <w:num w:numId="47">
    <w:abstractNumId w:val="35"/>
  </w:num>
  <w:num w:numId="48">
    <w:abstractNumId w:val="87"/>
  </w:num>
  <w:num w:numId="49">
    <w:abstractNumId w:val="51"/>
  </w:num>
  <w:num w:numId="50">
    <w:abstractNumId w:val="27"/>
  </w:num>
  <w:num w:numId="51">
    <w:abstractNumId w:val="34"/>
  </w:num>
  <w:num w:numId="52">
    <w:abstractNumId w:val="86"/>
  </w:num>
  <w:num w:numId="53">
    <w:abstractNumId w:val="94"/>
  </w:num>
  <w:num w:numId="54">
    <w:abstractNumId w:val="95"/>
  </w:num>
  <w:num w:numId="55">
    <w:abstractNumId w:val="84"/>
  </w:num>
  <w:num w:numId="56">
    <w:abstractNumId w:val="26"/>
  </w:num>
  <w:num w:numId="57">
    <w:abstractNumId w:val="89"/>
  </w:num>
  <w:num w:numId="58">
    <w:abstractNumId w:val="81"/>
  </w:num>
  <w:num w:numId="59">
    <w:abstractNumId w:val="77"/>
  </w:num>
  <w:num w:numId="60">
    <w:abstractNumId w:val="71"/>
  </w:num>
  <w:num w:numId="61">
    <w:abstractNumId w:val="14"/>
  </w:num>
  <w:num w:numId="62">
    <w:abstractNumId w:val="29"/>
  </w:num>
  <w:num w:numId="63">
    <w:abstractNumId w:val="41"/>
  </w:num>
  <w:num w:numId="64">
    <w:abstractNumId w:val="56"/>
  </w:num>
  <w:num w:numId="65">
    <w:abstractNumId w:val="45"/>
  </w:num>
  <w:num w:numId="66">
    <w:abstractNumId w:val="76"/>
  </w:num>
  <w:num w:numId="67">
    <w:abstractNumId w:val="85"/>
  </w:num>
  <w:num w:numId="68">
    <w:abstractNumId w:val="63"/>
  </w:num>
  <w:num w:numId="69">
    <w:abstractNumId w:val="57"/>
  </w:num>
  <w:num w:numId="70">
    <w:abstractNumId w:val="8"/>
  </w:num>
  <w:num w:numId="71">
    <w:abstractNumId w:val="79"/>
  </w:num>
  <w:num w:numId="72">
    <w:abstractNumId w:val="67"/>
  </w:num>
  <w:num w:numId="73">
    <w:abstractNumId w:val="74"/>
  </w:num>
  <w:num w:numId="74">
    <w:abstractNumId w:val="38"/>
  </w:num>
  <w:num w:numId="75">
    <w:abstractNumId w:val="54"/>
  </w:num>
  <w:num w:numId="76">
    <w:abstractNumId w:val="16"/>
  </w:num>
  <w:num w:numId="77">
    <w:abstractNumId w:val="4"/>
  </w:num>
  <w:num w:numId="78">
    <w:abstractNumId w:val="100"/>
  </w:num>
  <w:num w:numId="79">
    <w:abstractNumId w:val="92"/>
  </w:num>
  <w:num w:numId="80">
    <w:abstractNumId w:val="66"/>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6"/>
  </w:num>
  <w:num w:numId="83">
    <w:abstractNumId w:val="46"/>
  </w:num>
  <w:num w:numId="84">
    <w:abstractNumId w:val="60"/>
  </w:num>
  <w:num w:numId="85">
    <w:abstractNumId w:val="58"/>
  </w:num>
  <w:num w:numId="8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num>
  <w:num w:numId="88">
    <w:abstractNumId w:val="68"/>
  </w:num>
  <w:num w:numId="89">
    <w:abstractNumId w:val="103"/>
  </w:num>
  <w:num w:numId="90">
    <w:abstractNumId w:val="55"/>
  </w:num>
  <w:num w:numId="91">
    <w:abstractNumId w:val="33"/>
  </w:num>
  <w:num w:numId="92">
    <w:abstractNumId w:val="98"/>
  </w:num>
  <w:num w:numId="93">
    <w:abstractNumId w:val="73"/>
  </w:num>
  <w:num w:numId="94">
    <w:abstractNumId w:val="80"/>
  </w:num>
  <w:num w:numId="95">
    <w:abstractNumId w:val="36"/>
  </w:num>
  <w:num w:numId="96">
    <w:abstractNumId w:val="83"/>
  </w:num>
  <w:num w:numId="97">
    <w:abstractNumId w:val="40"/>
  </w:num>
  <w:num w:numId="98">
    <w:abstractNumId w:val="102"/>
  </w:num>
  <w:num w:numId="99">
    <w:abstractNumId w:val="50"/>
  </w:num>
  <w:num w:numId="100">
    <w:abstractNumId w:val="5"/>
  </w:num>
  <w:num w:numId="101">
    <w:abstractNumId w:val="93"/>
  </w:num>
  <w:num w:numId="102">
    <w:abstractNumId w:val="69"/>
  </w:num>
  <w:num w:numId="103">
    <w:abstractNumId w:val="75"/>
  </w:num>
  <w:num w:numId="104">
    <w:abstractNumId w:val="39"/>
  </w:num>
  <w:num w:numId="105">
    <w:abstractNumId w:val="32"/>
  </w:num>
  <w:num w:numId="106">
    <w:abstractNumId w:val="99"/>
  </w:num>
  <w:num w:numId="107">
    <w:abstractNumId w:val="62"/>
  </w:num>
  <w:num w:numId="108">
    <w:abstractNumId w:val="62"/>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4"/>
  <w:stylePaneSortMethod w:val="0000"/>
  <w:doNotTrackFormatting/>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074C6"/>
    <w:rsid w:val="00000033"/>
    <w:rsid w:val="00006922"/>
    <w:rsid w:val="0001377B"/>
    <w:rsid w:val="00017871"/>
    <w:rsid w:val="000334D7"/>
    <w:rsid w:val="00062D11"/>
    <w:rsid w:val="00064E7F"/>
    <w:rsid w:val="00083E35"/>
    <w:rsid w:val="00091327"/>
    <w:rsid w:val="000945FB"/>
    <w:rsid w:val="000A03E0"/>
    <w:rsid w:val="000A0A47"/>
    <w:rsid w:val="000A1696"/>
    <w:rsid w:val="000A4FA2"/>
    <w:rsid w:val="000C2524"/>
    <w:rsid w:val="000C2DD1"/>
    <w:rsid w:val="000E1404"/>
    <w:rsid w:val="000E42EA"/>
    <w:rsid w:val="000F5CEF"/>
    <w:rsid w:val="0010139F"/>
    <w:rsid w:val="00126FDA"/>
    <w:rsid w:val="00144DEF"/>
    <w:rsid w:val="001466FF"/>
    <w:rsid w:val="0015122D"/>
    <w:rsid w:val="001768D2"/>
    <w:rsid w:val="00177E5C"/>
    <w:rsid w:val="00181C7C"/>
    <w:rsid w:val="0019298F"/>
    <w:rsid w:val="00193665"/>
    <w:rsid w:val="001942CE"/>
    <w:rsid w:val="001A1F2B"/>
    <w:rsid w:val="001A6E2F"/>
    <w:rsid w:val="001E6CBE"/>
    <w:rsid w:val="001F4EEE"/>
    <w:rsid w:val="00232A75"/>
    <w:rsid w:val="00242088"/>
    <w:rsid w:val="0024784E"/>
    <w:rsid w:val="002528E7"/>
    <w:rsid w:val="00252F49"/>
    <w:rsid w:val="002547C2"/>
    <w:rsid w:val="0026586D"/>
    <w:rsid w:val="00270F9A"/>
    <w:rsid w:val="0028013F"/>
    <w:rsid w:val="00282541"/>
    <w:rsid w:val="00295B33"/>
    <w:rsid w:val="00295B44"/>
    <w:rsid w:val="002B2D48"/>
    <w:rsid w:val="002C34EA"/>
    <w:rsid w:val="002E581F"/>
    <w:rsid w:val="002E5F55"/>
    <w:rsid w:val="002F017C"/>
    <w:rsid w:val="003003C3"/>
    <w:rsid w:val="00305AFC"/>
    <w:rsid w:val="003074C6"/>
    <w:rsid w:val="00316C67"/>
    <w:rsid w:val="00330669"/>
    <w:rsid w:val="00346A50"/>
    <w:rsid w:val="00350127"/>
    <w:rsid w:val="00354AD4"/>
    <w:rsid w:val="00356CB3"/>
    <w:rsid w:val="00357012"/>
    <w:rsid w:val="003C38B6"/>
    <w:rsid w:val="003D6DBD"/>
    <w:rsid w:val="003E3268"/>
    <w:rsid w:val="003E7E6F"/>
    <w:rsid w:val="003F2F06"/>
    <w:rsid w:val="003F3C4B"/>
    <w:rsid w:val="003F510E"/>
    <w:rsid w:val="003F5C99"/>
    <w:rsid w:val="00405C0A"/>
    <w:rsid w:val="00414F2C"/>
    <w:rsid w:val="00432C4F"/>
    <w:rsid w:val="00433395"/>
    <w:rsid w:val="00433482"/>
    <w:rsid w:val="00433739"/>
    <w:rsid w:val="00450B34"/>
    <w:rsid w:val="004606A7"/>
    <w:rsid w:val="004C1A9E"/>
    <w:rsid w:val="004D7537"/>
    <w:rsid w:val="004E41B1"/>
    <w:rsid w:val="004F30F0"/>
    <w:rsid w:val="00505844"/>
    <w:rsid w:val="005268FB"/>
    <w:rsid w:val="00527E7A"/>
    <w:rsid w:val="005478B5"/>
    <w:rsid w:val="00553A4C"/>
    <w:rsid w:val="00554335"/>
    <w:rsid w:val="005671AF"/>
    <w:rsid w:val="00572E8A"/>
    <w:rsid w:val="00580722"/>
    <w:rsid w:val="005813A6"/>
    <w:rsid w:val="005A0FA9"/>
    <w:rsid w:val="005B4ABC"/>
    <w:rsid w:val="005C2201"/>
    <w:rsid w:val="005C3C44"/>
    <w:rsid w:val="005C6817"/>
    <w:rsid w:val="005F7918"/>
    <w:rsid w:val="006001C2"/>
    <w:rsid w:val="00625B0D"/>
    <w:rsid w:val="00627ACA"/>
    <w:rsid w:val="00627CBB"/>
    <w:rsid w:val="00640B2C"/>
    <w:rsid w:val="006479AA"/>
    <w:rsid w:val="00667CAD"/>
    <w:rsid w:val="00681D5E"/>
    <w:rsid w:val="0068621E"/>
    <w:rsid w:val="006A4CEB"/>
    <w:rsid w:val="006B61B1"/>
    <w:rsid w:val="006B67C7"/>
    <w:rsid w:val="006C0257"/>
    <w:rsid w:val="006C0E29"/>
    <w:rsid w:val="006C102F"/>
    <w:rsid w:val="006D30FE"/>
    <w:rsid w:val="006D3757"/>
    <w:rsid w:val="006D4716"/>
    <w:rsid w:val="006F7348"/>
    <w:rsid w:val="006F796D"/>
    <w:rsid w:val="0070155F"/>
    <w:rsid w:val="0070462C"/>
    <w:rsid w:val="00717F3F"/>
    <w:rsid w:val="00724226"/>
    <w:rsid w:val="00724A21"/>
    <w:rsid w:val="0073108C"/>
    <w:rsid w:val="00735A71"/>
    <w:rsid w:val="007372A4"/>
    <w:rsid w:val="00741B04"/>
    <w:rsid w:val="007711C8"/>
    <w:rsid w:val="007722E3"/>
    <w:rsid w:val="007B77D6"/>
    <w:rsid w:val="007D4836"/>
    <w:rsid w:val="007E2C84"/>
    <w:rsid w:val="007F0095"/>
    <w:rsid w:val="007F1639"/>
    <w:rsid w:val="007F1B0B"/>
    <w:rsid w:val="008034D1"/>
    <w:rsid w:val="008144C2"/>
    <w:rsid w:val="008338F7"/>
    <w:rsid w:val="0084336D"/>
    <w:rsid w:val="00860F40"/>
    <w:rsid w:val="008615C9"/>
    <w:rsid w:val="00871D92"/>
    <w:rsid w:val="00882F0B"/>
    <w:rsid w:val="00885C1A"/>
    <w:rsid w:val="008979D5"/>
    <w:rsid w:val="008A4C3B"/>
    <w:rsid w:val="008B2AD7"/>
    <w:rsid w:val="008D6B7E"/>
    <w:rsid w:val="008D7845"/>
    <w:rsid w:val="008E3431"/>
    <w:rsid w:val="008F2CA7"/>
    <w:rsid w:val="008F59C0"/>
    <w:rsid w:val="009014BE"/>
    <w:rsid w:val="00903E4D"/>
    <w:rsid w:val="00907D18"/>
    <w:rsid w:val="0091696B"/>
    <w:rsid w:val="009259AD"/>
    <w:rsid w:val="00957996"/>
    <w:rsid w:val="009604F9"/>
    <w:rsid w:val="009707DC"/>
    <w:rsid w:val="009777D3"/>
    <w:rsid w:val="009850B4"/>
    <w:rsid w:val="009859E6"/>
    <w:rsid w:val="009A68A8"/>
    <w:rsid w:val="009B533B"/>
    <w:rsid w:val="009C5AC5"/>
    <w:rsid w:val="009C6933"/>
    <w:rsid w:val="009D503D"/>
    <w:rsid w:val="009E2B05"/>
    <w:rsid w:val="00A04C7A"/>
    <w:rsid w:val="00A058E5"/>
    <w:rsid w:val="00A1064E"/>
    <w:rsid w:val="00A2072E"/>
    <w:rsid w:val="00A237BB"/>
    <w:rsid w:val="00A3621D"/>
    <w:rsid w:val="00A612FE"/>
    <w:rsid w:val="00A65C9C"/>
    <w:rsid w:val="00A65DF1"/>
    <w:rsid w:val="00A82078"/>
    <w:rsid w:val="00A838C8"/>
    <w:rsid w:val="00A85B28"/>
    <w:rsid w:val="00A91C42"/>
    <w:rsid w:val="00A9516B"/>
    <w:rsid w:val="00A9780A"/>
    <w:rsid w:val="00AA00AF"/>
    <w:rsid w:val="00AB283D"/>
    <w:rsid w:val="00AD312E"/>
    <w:rsid w:val="00AE049F"/>
    <w:rsid w:val="00AE36D9"/>
    <w:rsid w:val="00AE3C7B"/>
    <w:rsid w:val="00AF0340"/>
    <w:rsid w:val="00AF2C90"/>
    <w:rsid w:val="00AF51C9"/>
    <w:rsid w:val="00B024B0"/>
    <w:rsid w:val="00B04F01"/>
    <w:rsid w:val="00B2226E"/>
    <w:rsid w:val="00B36C0F"/>
    <w:rsid w:val="00B37AD5"/>
    <w:rsid w:val="00B43D6D"/>
    <w:rsid w:val="00B4529F"/>
    <w:rsid w:val="00B515F6"/>
    <w:rsid w:val="00B51748"/>
    <w:rsid w:val="00B642CC"/>
    <w:rsid w:val="00B829E8"/>
    <w:rsid w:val="00B85023"/>
    <w:rsid w:val="00B92C9B"/>
    <w:rsid w:val="00B942A8"/>
    <w:rsid w:val="00B95096"/>
    <w:rsid w:val="00BA469B"/>
    <w:rsid w:val="00BB4A5B"/>
    <w:rsid w:val="00BF2534"/>
    <w:rsid w:val="00C14633"/>
    <w:rsid w:val="00C35BF5"/>
    <w:rsid w:val="00C35DE1"/>
    <w:rsid w:val="00C524AA"/>
    <w:rsid w:val="00C54689"/>
    <w:rsid w:val="00C73358"/>
    <w:rsid w:val="00C77D44"/>
    <w:rsid w:val="00C81E8F"/>
    <w:rsid w:val="00C91D02"/>
    <w:rsid w:val="00CA4098"/>
    <w:rsid w:val="00CB6C08"/>
    <w:rsid w:val="00CD0DCA"/>
    <w:rsid w:val="00CE3708"/>
    <w:rsid w:val="00CE580B"/>
    <w:rsid w:val="00CF5661"/>
    <w:rsid w:val="00D05143"/>
    <w:rsid w:val="00D11D61"/>
    <w:rsid w:val="00D201C6"/>
    <w:rsid w:val="00D41A0F"/>
    <w:rsid w:val="00D632E2"/>
    <w:rsid w:val="00D638E0"/>
    <w:rsid w:val="00D716BA"/>
    <w:rsid w:val="00D820D5"/>
    <w:rsid w:val="00D94EE4"/>
    <w:rsid w:val="00DA774E"/>
    <w:rsid w:val="00DC2952"/>
    <w:rsid w:val="00DE4C79"/>
    <w:rsid w:val="00DE76FE"/>
    <w:rsid w:val="00E12B06"/>
    <w:rsid w:val="00E31655"/>
    <w:rsid w:val="00E33E38"/>
    <w:rsid w:val="00E37AA6"/>
    <w:rsid w:val="00E414BF"/>
    <w:rsid w:val="00E4175E"/>
    <w:rsid w:val="00E54D56"/>
    <w:rsid w:val="00E564C5"/>
    <w:rsid w:val="00E67C2B"/>
    <w:rsid w:val="00E71CB9"/>
    <w:rsid w:val="00E73698"/>
    <w:rsid w:val="00E75A7A"/>
    <w:rsid w:val="00E8251C"/>
    <w:rsid w:val="00EA2C48"/>
    <w:rsid w:val="00EB7EE2"/>
    <w:rsid w:val="00EC7414"/>
    <w:rsid w:val="00EE7E70"/>
    <w:rsid w:val="00EF18E1"/>
    <w:rsid w:val="00EF2257"/>
    <w:rsid w:val="00F036B3"/>
    <w:rsid w:val="00F17BED"/>
    <w:rsid w:val="00F31367"/>
    <w:rsid w:val="00F31C8E"/>
    <w:rsid w:val="00F70DD5"/>
    <w:rsid w:val="00F741AC"/>
    <w:rsid w:val="00FB3903"/>
    <w:rsid w:val="00FB607F"/>
    <w:rsid w:val="00FC2881"/>
    <w:rsid w:val="00FC7CB7"/>
    <w:rsid w:val="00FD5BEA"/>
    <w:rsid w:val="00FD7DC1"/>
    <w:rsid w:val="00FE4739"/>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1"/>
    <w:lsdException w:name="caption" w:semiHidden="1" w:unhideWhenUsed="1" w:qFormat="1"/>
    <w:lsdException w:name="footnote reference" w:uiPriority="99"/>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99"/>
    <w:rsid w:val="00E73698"/>
    <w:rPr>
      <w:sz w:val="20"/>
      <w:szCs w:val="20"/>
    </w:rPr>
  </w:style>
  <w:style w:type="character" w:customStyle="1" w:styleId="FootnoteTextChar">
    <w:name w:val="Footnote Text Char"/>
    <w:basedOn w:val="DefaultParagraphFont"/>
    <w:link w:val="FootnoteText"/>
    <w:uiPriority w:val="99"/>
    <w:rsid w:val="00E73698"/>
  </w:style>
  <w:style w:type="character" w:styleId="FootnoteReference">
    <w:name w:val="footnote reference"/>
    <w:basedOn w:val="DefaultParagraphFont"/>
    <w:uiPriority w:val="99"/>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qFormat/>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themeColor="followedHyperlink"/>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Theme="minorHAnsi" w:eastAsiaTheme="minorHAnsi" w:hAnsiTheme="minorHAnsi" w:cstheme="minorBid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HPRAsubheadinglevel20">
    <w:name w:val="AHPRA subheading level 2"/>
    <w:basedOn w:val="AHPRASubhead"/>
    <w:qFormat/>
    <w:rsid w:val="009A68A8"/>
    <w:pPr>
      <w:spacing w:line="276" w:lineRule="auto"/>
    </w:pPr>
    <w:rPr>
      <w:rFonts w:cs="Arial"/>
      <w:color w:val="auto"/>
      <w:szCs w:val="20"/>
      <w:lang w:val="en-AU"/>
    </w:rPr>
  </w:style>
  <w:style w:type="paragraph" w:customStyle="1" w:styleId="para">
    <w:name w:val="para"/>
    <w:uiPriority w:val="1"/>
    <w:qFormat/>
    <w:rsid w:val="00E67C2B"/>
    <w:pPr>
      <w:spacing w:after="240"/>
      <w:ind w:left="425"/>
    </w:pPr>
    <w:rPr>
      <w:rFonts w:ascii="Arial" w:eastAsia="Calibri" w:hAnsi="Arial"/>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No Spacing" w:uiPriority="1" w:qFormat="1"/>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720"/>
      </w:tabs>
      <w:ind w:left="72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themeColor="followedHyperlink"/>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s>
</file>

<file path=word/webSettings.xml><?xml version="1.0" encoding="utf-8"?>
<w:webSettings xmlns:r="http://schemas.openxmlformats.org/officeDocument/2006/relationships" xmlns:w="http://schemas.openxmlformats.org/wordprocessingml/2006/main">
  <w:divs>
    <w:div w:id="1574272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riminalhistoryconsult@ahpra.gov.a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hpra.gov.a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401B-F93D-4722-86E2-9C36E3A4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4105</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27919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international criminal history checking</dc:title>
  <dc:subject>Public consultation paper</dc:subject>
  <dc:creator>AHPRA</dc:creator>
  <cp:lastModifiedBy>gmeade</cp:lastModifiedBy>
  <cp:revision>2</cp:revision>
  <cp:lastPrinted>2013-07-31T21:51:00Z</cp:lastPrinted>
  <dcterms:created xsi:type="dcterms:W3CDTF">2013-10-03T02:01:00Z</dcterms:created>
  <dcterms:modified xsi:type="dcterms:W3CDTF">2013-10-03T02:01:00Z</dcterms:modified>
</cp:coreProperties>
</file>